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401FD" w14:textId="77777777" w:rsidR="00E3529D" w:rsidRPr="00BB171C" w:rsidRDefault="00754EB8" w:rsidP="00BB171C">
      <w:pPr>
        <w:shd w:val="clear" w:color="auto" w:fill="FFFFFF"/>
        <w:spacing w:after="150" w:line="240" w:lineRule="auto"/>
        <w:jc w:val="both"/>
        <w:rPr>
          <w:rFonts w:ascii="Calibri" w:eastAsia="Times New Roman" w:hAnsi="Calibri" w:cs="Calibri"/>
          <w:kern w:val="0"/>
          <w:sz w:val="24"/>
          <w:szCs w:val="24"/>
          <w:lang w:eastAsia="en-GB"/>
          <w14:ligatures w14:val="none"/>
        </w:rPr>
      </w:pPr>
      <w:r w:rsidRPr="00BB171C">
        <w:rPr>
          <w:rFonts w:ascii="Calibri" w:eastAsia="Times New Roman" w:hAnsi="Calibri" w:cs="Calibri"/>
          <w:kern w:val="0"/>
          <w:sz w:val="24"/>
          <w:szCs w:val="24"/>
          <w:lang w:eastAsia="en-GB"/>
          <w14:ligatures w14:val="none"/>
        </w:rPr>
        <w:t xml:space="preserve">The UK government has introduced major changes to the private rental sector through the Renters’ Rights Act 2025. </w:t>
      </w:r>
    </w:p>
    <w:p w14:paraId="61913E35" w14:textId="0873D020" w:rsidR="00754EB8" w:rsidRPr="00BB171C" w:rsidRDefault="00754EB8" w:rsidP="00BB171C">
      <w:pPr>
        <w:shd w:val="clear" w:color="auto" w:fill="FFFFFF"/>
        <w:spacing w:after="150" w:line="240" w:lineRule="auto"/>
        <w:jc w:val="both"/>
        <w:rPr>
          <w:rFonts w:ascii="Calibri" w:eastAsia="Times New Roman" w:hAnsi="Calibri" w:cs="Calibri"/>
          <w:kern w:val="0"/>
          <w:sz w:val="24"/>
          <w:szCs w:val="24"/>
          <w:lang w:eastAsia="en-GB"/>
          <w14:ligatures w14:val="none"/>
        </w:rPr>
      </w:pPr>
      <w:r w:rsidRPr="00BB171C">
        <w:rPr>
          <w:rFonts w:ascii="Calibri" w:eastAsia="Times New Roman" w:hAnsi="Calibri" w:cs="Calibri"/>
          <w:kern w:val="0"/>
          <w:sz w:val="24"/>
          <w:szCs w:val="24"/>
          <w:lang w:eastAsia="en-GB"/>
          <w14:ligatures w14:val="none"/>
        </w:rPr>
        <w:t>The Act aims to give tenants stronger protections and improve conditions in privately rented homes.  </w:t>
      </w:r>
    </w:p>
    <w:p w14:paraId="1C0C54FE" w14:textId="77777777" w:rsidR="00754EB8" w:rsidRPr="00BB171C" w:rsidRDefault="00754EB8" w:rsidP="00BB171C">
      <w:pPr>
        <w:shd w:val="clear" w:color="auto" w:fill="FFFFFF"/>
        <w:spacing w:after="150" w:line="240" w:lineRule="auto"/>
        <w:jc w:val="both"/>
        <w:rPr>
          <w:rFonts w:ascii="Calibri" w:eastAsia="Times New Roman" w:hAnsi="Calibri" w:cs="Calibri"/>
          <w:kern w:val="0"/>
          <w:sz w:val="24"/>
          <w:szCs w:val="24"/>
          <w:lang w:eastAsia="en-GB"/>
          <w14:ligatures w14:val="none"/>
        </w:rPr>
      </w:pPr>
      <w:r w:rsidRPr="00BB171C">
        <w:rPr>
          <w:rFonts w:ascii="Calibri" w:eastAsia="Times New Roman" w:hAnsi="Calibri" w:cs="Calibri"/>
          <w:kern w:val="0"/>
          <w:sz w:val="24"/>
          <w:szCs w:val="24"/>
          <w:lang w:eastAsia="en-GB"/>
          <w14:ligatures w14:val="none"/>
        </w:rPr>
        <w:t>Some of the most significant changes will come into effect on </w:t>
      </w:r>
      <w:r w:rsidRPr="00BB171C">
        <w:rPr>
          <w:rFonts w:ascii="Calibri" w:eastAsia="Times New Roman" w:hAnsi="Calibri" w:cs="Calibri"/>
          <w:b/>
          <w:bCs/>
          <w:kern w:val="0"/>
          <w:sz w:val="24"/>
          <w:szCs w:val="24"/>
          <w:lang w:eastAsia="en-GB"/>
          <w14:ligatures w14:val="none"/>
        </w:rPr>
        <w:t>1 May 2026</w:t>
      </w:r>
      <w:r w:rsidRPr="00BB171C">
        <w:rPr>
          <w:rFonts w:ascii="Calibri" w:eastAsia="Times New Roman" w:hAnsi="Calibri" w:cs="Calibri"/>
          <w:kern w:val="0"/>
          <w:sz w:val="24"/>
          <w:szCs w:val="24"/>
          <w:lang w:eastAsia="en-GB"/>
          <w14:ligatures w14:val="none"/>
        </w:rPr>
        <w:t>, and these will affect many university students renting privately in England. </w:t>
      </w:r>
    </w:p>
    <w:p w14:paraId="202550AB" w14:textId="77777777" w:rsidR="00754EB8" w:rsidRPr="00BB171C" w:rsidRDefault="00754EB8" w:rsidP="00BB171C">
      <w:pPr>
        <w:shd w:val="clear" w:color="auto" w:fill="FFFFFF"/>
        <w:spacing w:after="150" w:line="240" w:lineRule="auto"/>
        <w:jc w:val="both"/>
        <w:rPr>
          <w:rFonts w:ascii="Calibri" w:eastAsia="Times New Roman" w:hAnsi="Calibri" w:cs="Calibri"/>
          <w:kern w:val="0"/>
          <w:sz w:val="24"/>
          <w:szCs w:val="24"/>
          <w:lang w:eastAsia="en-GB"/>
          <w14:ligatures w14:val="none"/>
        </w:rPr>
      </w:pPr>
      <w:r w:rsidRPr="00BB171C">
        <w:rPr>
          <w:rFonts w:ascii="Calibri" w:eastAsia="Times New Roman" w:hAnsi="Calibri" w:cs="Calibri"/>
          <w:kern w:val="0"/>
          <w:sz w:val="24"/>
          <w:szCs w:val="24"/>
          <w:lang w:eastAsia="en-GB"/>
          <w14:ligatures w14:val="none"/>
        </w:rPr>
        <w:t>If you’re planning to move into private housing soon, or are already renting privately, it’s important to understand what these changes mean for you. </w:t>
      </w:r>
    </w:p>
    <w:p w14:paraId="364629C9" w14:textId="77777777" w:rsidR="00421B8B" w:rsidRPr="00BB171C" w:rsidRDefault="00421B8B" w:rsidP="00BB171C">
      <w:pPr>
        <w:shd w:val="clear" w:color="auto" w:fill="FFFFFF"/>
        <w:spacing w:after="150" w:line="240" w:lineRule="auto"/>
        <w:jc w:val="both"/>
        <w:rPr>
          <w:rFonts w:ascii="Calibri" w:eastAsia="Times New Roman" w:hAnsi="Calibri" w:cs="Calibri"/>
          <w:color w:val="2D2D2D"/>
          <w:kern w:val="0"/>
          <w:sz w:val="24"/>
          <w:szCs w:val="24"/>
          <w:lang w:eastAsia="en-GB"/>
          <w14:ligatures w14:val="none"/>
        </w:rPr>
      </w:pPr>
    </w:p>
    <w:p w14:paraId="6BAE6665" w14:textId="15E611D1" w:rsidR="00235CF3" w:rsidRPr="00BB171C" w:rsidRDefault="00421B8B" w:rsidP="00BB171C">
      <w:pPr>
        <w:shd w:val="clear" w:color="auto" w:fill="FFFFFF"/>
        <w:spacing w:after="150" w:line="240" w:lineRule="auto"/>
        <w:jc w:val="both"/>
        <w:rPr>
          <w:rFonts w:ascii="Calibri" w:eastAsia="Times New Roman" w:hAnsi="Calibri" w:cs="Calibri"/>
          <w:b/>
          <w:bCs/>
          <w:kern w:val="0"/>
          <w:sz w:val="32"/>
          <w:szCs w:val="32"/>
          <w:lang w:eastAsia="en-GB"/>
          <w14:ligatures w14:val="none"/>
        </w:rPr>
      </w:pPr>
      <w:r w:rsidRPr="00BB171C">
        <w:rPr>
          <w:rFonts w:ascii="Calibri" w:eastAsia="Times New Roman" w:hAnsi="Calibri" w:cs="Calibri"/>
          <w:b/>
          <w:bCs/>
          <w:kern w:val="0"/>
          <w:sz w:val="32"/>
          <w:szCs w:val="32"/>
          <w:lang w:eastAsia="en-GB"/>
          <w14:ligatures w14:val="none"/>
        </w:rPr>
        <w:t xml:space="preserve">Student Accommodation </w:t>
      </w:r>
    </w:p>
    <w:p w14:paraId="259F0178" w14:textId="1CF9485C" w:rsidR="00514D82" w:rsidRPr="00BB171C" w:rsidRDefault="00514D82" w:rsidP="00BB171C">
      <w:pPr>
        <w:shd w:val="clear" w:color="auto" w:fill="FFFFFF"/>
        <w:spacing w:after="0" w:line="240" w:lineRule="auto"/>
        <w:jc w:val="both"/>
        <w:rPr>
          <w:rFonts w:ascii="Calibri" w:eastAsia="Times New Roman" w:hAnsi="Calibri" w:cs="Calibri"/>
          <w:b/>
          <w:bCs/>
          <w:color w:val="0A0A0A"/>
          <w:kern w:val="0"/>
          <w:sz w:val="24"/>
          <w:szCs w:val="24"/>
          <w:lang w:eastAsia="en-GB"/>
          <w14:ligatures w14:val="none"/>
        </w:rPr>
      </w:pPr>
      <w:r w:rsidRPr="00BB171C">
        <w:rPr>
          <w:rFonts w:ascii="Calibri" w:eastAsia="Times New Roman" w:hAnsi="Calibri" w:cs="Calibri"/>
          <w:b/>
          <w:bCs/>
          <w:color w:val="0A0A0A"/>
          <w:kern w:val="0"/>
          <w:sz w:val="24"/>
          <w:szCs w:val="24"/>
          <w:lang w:eastAsia="en-GB"/>
          <w14:ligatures w14:val="none"/>
        </w:rPr>
        <w:t>Key Exemptions as of 1 May 2026</w:t>
      </w:r>
    </w:p>
    <w:p w14:paraId="3A8C386E" w14:textId="77777777" w:rsidR="00097B3D" w:rsidRPr="00BB171C" w:rsidRDefault="00097B3D" w:rsidP="00BB171C">
      <w:pPr>
        <w:shd w:val="clear" w:color="auto" w:fill="FFFFFF"/>
        <w:spacing w:after="0" w:line="240" w:lineRule="auto"/>
        <w:jc w:val="both"/>
        <w:rPr>
          <w:rFonts w:ascii="Calibri" w:eastAsia="Times New Roman" w:hAnsi="Calibri" w:cs="Calibri"/>
          <w:b/>
          <w:bCs/>
          <w:color w:val="0A0A0A"/>
          <w:kern w:val="0"/>
          <w:sz w:val="24"/>
          <w:szCs w:val="24"/>
          <w:lang w:eastAsia="en-GB"/>
          <w14:ligatures w14:val="none"/>
        </w:rPr>
      </w:pPr>
    </w:p>
    <w:p w14:paraId="645A1141" w14:textId="188E5D9F" w:rsidR="00BD0251" w:rsidRPr="00BB171C" w:rsidRDefault="00BD0251" w:rsidP="00BB171C">
      <w:pPr>
        <w:pStyle w:val="ListParagraph"/>
        <w:numPr>
          <w:ilvl w:val="0"/>
          <w:numId w:val="17"/>
        </w:numPr>
        <w:shd w:val="clear" w:color="auto" w:fill="FFFFFF"/>
        <w:spacing w:after="0" w:line="240" w:lineRule="auto"/>
        <w:jc w:val="both"/>
        <w:rPr>
          <w:rFonts w:ascii="Calibri" w:eastAsia="Times New Roman" w:hAnsi="Calibri" w:cs="Calibri"/>
          <w:color w:val="0A0A0A"/>
          <w:kern w:val="0"/>
          <w:sz w:val="24"/>
          <w:szCs w:val="24"/>
          <w:lang w:eastAsia="en-GB"/>
          <w14:ligatures w14:val="none"/>
        </w:rPr>
      </w:pPr>
      <w:r w:rsidRPr="00BB171C">
        <w:rPr>
          <w:rFonts w:ascii="Calibri" w:eastAsia="Times New Roman" w:hAnsi="Calibri" w:cs="Calibri"/>
          <w:b/>
          <w:bCs/>
          <w:color w:val="0A0A0A"/>
          <w:kern w:val="0"/>
          <w:sz w:val="24"/>
          <w:szCs w:val="24"/>
          <w:lang w:eastAsia="en-GB"/>
          <w14:ligatures w14:val="none"/>
        </w:rPr>
        <w:t>Purpose Built Student Accommodation PBSA</w:t>
      </w:r>
    </w:p>
    <w:p w14:paraId="56A1A4FD" w14:textId="77777777" w:rsidR="00514D82" w:rsidRPr="00BB171C" w:rsidRDefault="00514D82" w:rsidP="00BB171C">
      <w:pPr>
        <w:shd w:val="clear" w:color="auto" w:fill="FFFFFF"/>
        <w:spacing w:after="0" w:line="240" w:lineRule="auto"/>
        <w:jc w:val="both"/>
        <w:rPr>
          <w:rFonts w:ascii="Calibri" w:eastAsia="Times New Roman" w:hAnsi="Calibri" w:cs="Calibri"/>
          <w:color w:val="0A0A0A"/>
          <w:kern w:val="0"/>
          <w:sz w:val="24"/>
          <w:szCs w:val="24"/>
          <w:lang w:eastAsia="en-GB"/>
          <w14:ligatures w14:val="none"/>
        </w:rPr>
      </w:pPr>
    </w:p>
    <w:p w14:paraId="52A6CD8A" w14:textId="119C7294" w:rsidR="00502BF4" w:rsidRPr="00BB171C" w:rsidRDefault="005864DA" w:rsidP="00BB171C">
      <w:pPr>
        <w:spacing w:line="240" w:lineRule="auto"/>
        <w:jc w:val="both"/>
        <w:rPr>
          <w:rFonts w:ascii="Calibri" w:hAnsi="Calibri" w:cs="Calibri"/>
          <w:color w:val="0A0A0A"/>
          <w:sz w:val="24"/>
          <w:szCs w:val="24"/>
          <w:shd w:val="clear" w:color="auto" w:fill="FFFFFF"/>
        </w:rPr>
      </w:pPr>
      <w:r w:rsidRPr="00BB171C">
        <w:rPr>
          <w:rFonts w:ascii="Calibri" w:hAnsi="Calibri" w:cs="Calibri"/>
          <w:sz w:val="24"/>
          <w:szCs w:val="24"/>
        </w:rPr>
        <w:t>The Renters</w:t>
      </w:r>
      <w:r w:rsidR="00502BF4" w:rsidRPr="00BB171C">
        <w:rPr>
          <w:rFonts w:ascii="Calibri" w:hAnsi="Calibri" w:cs="Calibri"/>
          <w:sz w:val="24"/>
          <w:szCs w:val="24"/>
        </w:rPr>
        <w:t>’ Rights Act will not apply to Purpose Built Student Accommodation (PBSA</w:t>
      </w:r>
      <w:proofErr w:type="gramStart"/>
      <w:r w:rsidR="00502BF4" w:rsidRPr="00BB171C">
        <w:rPr>
          <w:rFonts w:ascii="Calibri" w:hAnsi="Calibri" w:cs="Calibri"/>
          <w:color w:val="0A0A0A"/>
          <w:sz w:val="24"/>
          <w:szCs w:val="24"/>
          <w:shd w:val="clear" w:color="auto" w:fill="FFFFFF"/>
        </w:rPr>
        <w:t>),</w:t>
      </w:r>
      <w:proofErr w:type="gramEnd"/>
      <w:r w:rsidR="00502BF4" w:rsidRPr="00BB171C">
        <w:rPr>
          <w:rFonts w:ascii="Calibri" w:hAnsi="Calibri" w:cs="Calibri"/>
          <w:color w:val="0A0A0A"/>
          <w:sz w:val="24"/>
          <w:szCs w:val="24"/>
          <w:shd w:val="clear" w:color="auto" w:fill="FFFFFF"/>
        </w:rPr>
        <w:t xml:space="preserve"> this </w:t>
      </w:r>
      <w:r w:rsidR="00421B8B" w:rsidRPr="00BB171C">
        <w:rPr>
          <w:rFonts w:ascii="Calibri" w:hAnsi="Calibri" w:cs="Calibri"/>
          <w:color w:val="0A0A0A"/>
          <w:sz w:val="24"/>
          <w:szCs w:val="24"/>
          <w:shd w:val="clear" w:color="auto" w:fill="FFFFFF"/>
        </w:rPr>
        <w:t>means</w:t>
      </w:r>
      <w:r w:rsidR="00502BF4" w:rsidRPr="00BB171C">
        <w:rPr>
          <w:rFonts w:ascii="Calibri" w:hAnsi="Calibri" w:cs="Calibri"/>
          <w:color w:val="0A0A0A"/>
          <w:sz w:val="24"/>
          <w:szCs w:val="24"/>
          <w:shd w:val="clear" w:color="auto" w:fill="FFFFFF"/>
        </w:rPr>
        <w:t xml:space="preserve"> </w:t>
      </w:r>
      <w:hyperlink r:id="rId6" w:history="1">
        <w:r w:rsidR="00502BF4" w:rsidRPr="00BB171C">
          <w:rPr>
            <w:rStyle w:val="Hyperlink"/>
            <w:rFonts w:ascii="Calibri" w:hAnsi="Calibri" w:cs="Calibri"/>
            <w:sz w:val="24"/>
            <w:szCs w:val="24"/>
            <w:shd w:val="clear" w:color="auto" w:fill="FFFFFF"/>
          </w:rPr>
          <w:t>Athena Hall</w:t>
        </w:r>
      </w:hyperlink>
      <w:r w:rsidR="00421B8B" w:rsidRPr="00BB171C">
        <w:rPr>
          <w:rFonts w:ascii="Calibri" w:hAnsi="Calibri" w:cs="Calibri"/>
          <w:color w:val="0A0A0A"/>
          <w:sz w:val="24"/>
          <w:szCs w:val="24"/>
          <w:shd w:val="clear" w:color="auto" w:fill="FFFFFF"/>
        </w:rPr>
        <w:t xml:space="preserve"> </w:t>
      </w:r>
    </w:p>
    <w:p w14:paraId="6428156D" w14:textId="462F457A" w:rsidR="00502BF4" w:rsidRPr="00BB171C" w:rsidRDefault="00502BF4" w:rsidP="00BB171C">
      <w:pPr>
        <w:spacing w:line="240" w:lineRule="auto"/>
        <w:jc w:val="both"/>
        <w:rPr>
          <w:rFonts w:ascii="Calibri" w:hAnsi="Calibri" w:cs="Calibri"/>
          <w:color w:val="0A0A0A"/>
          <w:sz w:val="24"/>
          <w:szCs w:val="24"/>
          <w:shd w:val="clear" w:color="auto" w:fill="FFFFFF"/>
        </w:rPr>
      </w:pPr>
      <w:r w:rsidRPr="00BB171C">
        <w:rPr>
          <w:rFonts w:ascii="Calibri" w:hAnsi="Calibri" w:cs="Calibri"/>
          <w:sz w:val="24"/>
          <w:szCs w:val="24"/>
        </w:rPr>
        <w:t>Exempt providers</w:t>
      </w:r>
      <w:r w:rsidR="00421B8B" w:rsidRPr="00BB171C">
        <w:rPr>
          <w:rFonts w:ascii="Calibri" w:hAnsi="Calibri" w:cs="Calibri"/>
          <w:sz w:val="24"/>
          <w:szCs w:val="24"/>
        </w:rPr>
        <w:t>, like Athena Hall,</w:t>
      </w:r>
      <w:r w:rsidRPr="00BB171C">
        <w:rPr>
          <w:rFonts w:ascii="Calibri" w:hAnsi="Calibri" w:cs="Calibri"/>
          <w:sz w:val="24"/>
          <w:szCs w:val="24"/>
        </w:rPr>
        <w:t xml:space="preserve"> </w:t>
      </w:r>
      <w:r w:rsidR="00235CF3" w:rsidRPr="00BB171C">
        <w:rPr>
          <w:rFonts w:ascii="Calibri" w:hAnsi="Calibri" w:cs="Calibri"/>
          <w:sz w:val="24"/>
          <w:szCs w:val="24"/>
        </w:rPr>
        <w:t>are</w:t>
      </w:r>
      <w:r w:rsidRPr="00BB171C">
        <w:rPr>
          <w:rFonts w:ascii="Calibri" w:hAnsi="Calibri" w:cs="Calibri"/>
          <w:sz w:val="24"/>
          <w:szCs w:val="24"/>
        </w:rPr>
        <w:t xml:space="preserve"> signed up to government-approved codes, such as the </w:t>
      </w:r>
      <w:r w:rsidRPr="00BB171C">
        <w:rPr>
          <w:rStyle w:val="t286pc"/>
          <w:rFonts w:ascii="Calibri" w:hAnsi="Calibri" w:cs="Calibri"/>
          <w:sz w:val="24"/>
          <w:szCs w:val="24"/>
        </w:rPr>
        <w:t>ANUK/Unipol</w:t>
      </w:r>
      <w:r w:rsidR="00FD598C" w:rsidRPr="00BB171C">
        <w:rPr>
          <w:rStyle w:val="t286pc"/>
          <w:rFonts w:ascii="Calibri" w:hAnsi="Calibri" w:cs="Calibri"/>
          <w:sz w:val="24"/>
          <w:szCs w:val="24"/>
        </w:rPr>
        <w:t xml:space="preserve"> </w:t>
      </w:r>
      <w:r w:rsidRPr="00BB171C">
        <w:rPr>
          <w:rStyle w:val="t286pc"/>
          <w:rFonts w:ascii="Calibri" w:hAnsi="Calibri" w:cs="Calibri"/>
          <w:sz w:val="24"/>
          <w:szCs w:val="24"/>
        </w:rPr>
        <w:t>Codes</w:t>
      </w:r>
      <w:r w:rsidRPr="00BB171C">
        <w:rPr>
          <w:rFonts w:ascii="Calibri" w:hAnsi="Calibri" w:cs="Calibri"/>
          <w:sz w:val="24"/>
          <w:szCs w:val="24"/>
        </w:rPr>
        <w:t> for private providers</w:t>
      </w:r>
      <w:r w:rsidR="00603645" w:rsidRPr="00BB171C">
        <w:rPr>
          <w:rFonts w:ascii="Calibri" w:hAnsi="Calibri" w:cs="Calibri"/>
          <w:sz w:val="24"/>
          <w:szCs w:val="24"/>
        </w:rPr>
        <w:t>,</w:t>
      </w:r>
      <w:r w:rsidRPr="00BB171C">
        <w:rPr>
          <w:rFonts w:ascii="Calibri" w:hAnsi="Calibri" w:cs="Calibri"/>
          <w:sz w:val="24"/>
          <w:szCs w:val="24"/>
        </w:rPr>
        <w:t xml:space="preserve"> or the </w:t>
      </w:r>
      <w:r w:rsidRPr="00BB171C">
        <w:rPr>
          <w:rStyle w:val="t286pc"/>
          <w:rFonts w:ascii="Calibri" w:hAnsi="Calibri" w:cs="Calibri"/>
          <w:sz w:val="24"/>
          <w:szCs w:val="24"/>
        </w:rPr>
        <w:t>UUK/</w:t>
      </w:r>
      <w:proofErr w:type="spellStart"/>
      <w:r w:rsidRPr="00BB171C">
        <w:rPr>
          <w:rStyle w:val="t286pc"/>
          <w:rFonts w:ascii="Calibri" w:hAnsi="Calibri" w:cs="Calibri"/>
          <w:sz w:val="24"/>
          <w:szCs w:val="24"/>
        </w:rPr>
        <w:t>GuildHE</w:t>
      </w:r>
      <w:proofErr w:type="spellEnd"/>
      <w:r w:rsidRPr="00BB171C">
        <w:rPr>
          <w:rStyle w:val="t286pc"/>
          <w:rFonts w:ascii="Calibri" w:hAnsi="Calibri" w:cs="Calibri"/>
          <w:sz w:val="24"/>
          <w:szCs w:val="24"/>
        </w:rPr>
        <w:t xml:space="preserve"> Code</w:t>
      </w:r>
      <w:r w:rsidRPr="00BB171C">
        <w:rPr>
          <w:rFonts w:ascii="Calibri" w:hAnsi="Calibri" w:cs="Calibri"/>
          <w:sz w:val="24"/>
          <w:szCs w:val="24"/>
        </w:rPr>
        <w:t> for educational establishments</w:t>
      </w:r>
      <w:r w:rsidRPr="00BB171C">
        <w:rPr>
          <w:rFonts w:ascii="Calibri" w:hAnsi="Calibri" w:cs="Calibri"/>
          <w:color w:val="0A0A0A"/>
          <w:sz w:val="24"/>
          <w:szCs w:val="24"/>
          <w:shd w:val="clear" w:color="auto" w:fill="FFFFFF"/>
        </w:rPr>
        <w:t>, allowing them to continue using common law tenancies</w:t>
      </w:r>
      <w:r w:rsidR="00514D82" w:rsidRPr="00BB171C">
        <w:rPr>
          <w:rFonts w:ascii="Calibri" w:hAnsi="Calibri" w:cs="Calibri"/>
          <w:color w:val="0A0A0A"/>
          <w:sz w:val="24"/>
          <w:szCs w:val="24"/>
          <w:shd w:val="clear" w:color="auto" w:fill="FFFFFF"/>
        </w:rPr>
        <w:t>.</w:t>
      </w:r>
    </w:p>
    <w:p w14:paraId="4ED4C295" w14:textId="77777777" w:rsidR="000320D2" w:rsidRPr="00BB171C" w:rsidRDefault="000320D2" w:rsidP="00BB171C">
      <w:pPr>
        <w:shd w:val="clear" w:color="auto" w:fill="FFFFFF"/>
        <w:spacing w:after="0" w:line="240" w:lineRule="auto"/>
        <w:jc w:val="both"/>
        <w:rPr>
          <w:rFonts w:ascii="Calibri" w:eastAsia="Times New Roman" w:hAnsi="Calibri" w:cs="Calibri"/>
          <w:b/>
          <w:bCs/>
          <w:color w:val="0A0A0A"/>
          <w:kern w:val="0"/>
          <w:sz w:val="24"/>
          <w:szCs w:val="24"/>
          <w:lang w:eastAsia="en-GB"/>
          <w14:ligatures w14:val="none"/>
        </w:rPr>
      </w:pPr>
    </w:p>
    <w:p w14:paraId="04726EDB" w14:textId="77777777" w:rsidR="005864DA" w:rsidRPr="00BB171C" w:rsidRDefault="00502BF4" w:rsidP="00BB171C">
      <w:pPr>
        <w:pStyle w:val="ListParagraph"/>
        <w:numPr>
          <w:ilvl w:val="0"/>
          <w:numId w:val="16"/>
        </w:numPr>
        <w:shd w:val="clear" w:color="auto" w:fill="FFFFFF"/>
        <w:spacing w:after="100" w:afterAutospacing="1" w:line="240" w:lineRule="auto"/>
        <w:jc w:val="both"/>
        <w:rPr>
          <w:rFonts w:ascii="Calibri" w:eastAsia="Times New Roman" w:hAnsi="Calibri" w:cs="Calibri"/>
          <w:kern w:val="0"/>
          <w:sz w:val="24"/>
          <w:szCs w:val="24"/>
          <w:lang w:eastAsia="en-GB"/>
          <w14:ligatures w14:val="none"/>
        </w:rPr>
      </w:pPr>
      <w:r w:rsidRPr="00BB171C">
        <w:rPr>
          <w:rFonts w:ascii="Calibri" w:eastAsia="Times New Roman" w:hAnsi="Calibri" w:cs="Calibri"/>
          <w:b/>
          <w:bCs/>
          <w:color w:val="0A0A0A"/>
          <w:kern w:val="0"/>
          <w:sz w:val="24"/>
          <w:szCs w:val="24"/>
          <w:lang w:eastAsia="en-GB"/>
          <w14:ligatures w14:val="none"/>
        </w:rPr>
        <w:t>PBSA and University Halls:</w:t>
      </w:r>
      <w:r w:rsidRPr="00BB171C">
        <w:rPr>
          <w:rFonts w:ascii="Calibri" w:eastAsia="Times New Roman" w:hAnsi="Calibri" w:cs="Calibri"/>
          <w:color w:val="0A0A0A"/>
          <w:kern w:val="0"/>
          <w:sz w:val="24"/>
          <w:szCs w:val="24"/>
          <w:lang w:eastAsia="en-GB"/>
          <w14:ligatures w14:val="none"/>
        </w:rPr>
        <w:t xml:space="preserve"> Private </w:t>
      </w:r>
      <w:r w:rsidR="00C77AFF" w:rsidRPr="00BB171C">
        <w:rPr>
          <w:rFonts w:ascii="Calibri" w:eastAsia="Times New Roman" w:hAnsi="Calibri" w:cs="Calibri"/>
          <w:color w:val="0A0A0A"/>
          <w:kern w:val="0"/>
          <w:sz w:val="24"/>
          <w:szCs w:val="24"/>
          <w:lang w:eastAsia="en-GB"/>
          <w14:ligatures w14:val="none"/>
        </w:rPr>
        <w:t>H</w:t>
      </w:r>
      <w:r w:rsidRPr="00BB171C">
        <w:rPr>
          <w:rFonts w:ascii="Calibri" w:eastAsia="Times New Roman" w:hAnsi="Calibri" w:cs="Calibri"/>
          <w:color w:val="0A0A0A"/>
          <w:kern w:val="0"/>
          <w:sz w:val="24"/>
          <w:szCs w:val="24"/>
          <w:lang w:eastAsia="en-GB"/>
          <w14:ligatures w14:val="none"/>
        </w:rPr>
        <w:t>alls run by speciali</w:t>
      </w:r>
      <w:r w:rsidR="003D498D" w:rsidRPr="00BB171C">
        <w:rPr>
          <w:rFonts w:ascii="Calibri" w:eastAsia="Times New Roman" w:hAnsi="Calibri" w:cs="Calibri"/>
          <w:color w:val="0A0A0A"/>
          <w:kern w:val="0"/>
          <w:sz w:val="24"/>
          <w:szCs w:val="24"/>
          <w:lang w:eastAsia="en-GB"/>
          <w14:ligatures w14:val="none"/>
        </w:rPr>
        <w:t>s</w:t>
      </w:r>
      <w:r w:rsidRPr="00BB171C">
        <w:rPr>
          <w:rFonts w:ascii="Calibri" w:eastAsia="Times New Roman" w:hAnsi="Calibri" w:cs="Calibri"/>
          <w:color w:val="0A0A0A"/>
          <w:kern w:val="0"/>
          <w:sz w:val="24"/>
          <w:szCs w:val="24"/>
          <w:lang w:eastAsia="en-GB"/>
          <w14:ligatures w14:val="none"/>
        </w:rPr>
        <w:t xml:space="preserve">ed companies (e.g., </w:t>
      </w:r>
      <w:hyperlink r:id="rId7" w:history="1">
        <w:r w:rsidR="003D498D" w:rsidRPr="00BB171C">
          <w:rPr>
            <w:rStyle w:val="Hyperlink"/>
            <w:rFonts w:ascii="Calibri" w:eastAsia="Times New Roman" w:hAnsi="Calibri" w:cs="Calibri"/>
            <w:kern w:val="0"/>
            <w:sz w:val="24"/>
            <w:szCs w:val="24"/>
            <w:lang w:eastAsia="en-GB"/>
            <w14:ligatures w14:val="none"/>
          </w:rPr>
          <w:t>Collegiate</w:t>
        </w:r>
      </w:hyperlink>
      <w:r w:rsidR="003D498D" w:rsidRPr="00BB171C">
        <w:rPr>
          <w:rFonts w:ascii="Calibri" w:eastAsia="Times New Roman" w:hAnsi="Calibri" w:cs="Calibri"/>
          <w:color w:val="0A0A0A"/>
          <w:kern w:val="0"/>
          <w:sz w:val="24"/>
          <w:szCs w:val="24"/>
          <w:lang w:eastAsia="en-GB"/>
          <w14:ligatures w14:val="none"/>
        </w:rPr>
        <w:t>,</w:t>
      </w:r>
      <w:r w:rsidRPr="00BB171C">
        <w:rPr>
          <w:rFonts w:ascii="Calibri" w:eastAsia="Times New Roman" w:hAnsi="Calibri" w:cs="Calibri"/>
          <w:color w:val="0A0A0A"/>
          <w:kern w:val="0"/>
          <w:sz w:val="24"/>
          <w:szCs w:val="24"/>
          <w:lang w:eastAsia="en-GB"/>
          <w14:ligatures w14:val="none"/>
        </w:rPr>
        <w:t>) a</w:t>
      </w:r>
      <w:r w:rsidRPr="00BB171C">
        <w:rPr>
          <w:rFonts w:ascii="Calibri" w:eastAsia="Times New Roman" w:hAnsi="Calibri" w:cs="Calibri"/>
          <w:kern w:val="0"/>
          <w:sz w:val="24"/>
          <w:szCs w:val="24"/>
          <w:lang w:eastAsia="en-GB"/>
          <w14:ligatures w14:val="none"/>
        </w:rPr>
        <w:t>nd university-owned accommodation.</w:t>
      </w:r>
      <w:r w:rsidR="00FD598C" w:rsidRPr="00BB171C">
        <w:rPr>
          <w:rFonts w:ascii="Calibri" w:eastAsia="Times New Roman" w:hAnsi="Calibri" w:cs="Calibri"/>
          <w:kern w:val="0"/>
          <w:sz w:val="24"/>
          <w:szCs w:val="24"/>
          <w:lang w:eastAsia="en-GB"/>
          <w14:ligatures w14:val="none"/>
        </w:rPr>
        <w:t xml:space="preserve">   </w:t>
      </w:r>
    </w:p>
    <w:p w14:paraId="09544FF9" w14:textId="344885D4" w:rsidR="00502BF4" w:rsidRPr="00BB171C" w:rsidRDefault="00FD598C" w:rsidP="00BB171C">
      <w:pPr>
        <w:pStyle w:val="ListParagraph"/>
        <w:shd w:val="clear" w:color="auto" w:fill="FFFFFF"/>
        <w:spacing w:after="100" w:afterAutospacing="1" w:line="240" w:lineRule="auto"/>
        <w:jc w:val="both"/>
        <w:rPr>
          <w:rFonts w:ascii="Calibri" w:eastAsia="Times New Roman" w:hAnsi="Calibri" w:cs="Calibri"/>
          <w:kern w:val="0"/>
          <w:sz w:val="24"/>
          <w:szCs w:val="24"/>
          <w:lang w:eastAsia="en-GB"/>
          <w14:ligatures w14:val="none"/>
        </w:rPr>
      </w:pPr>
      <w:r w:rsidRPr="00BB171C">
        <w:rPr>
          <w:rFonts w:ascii="Calibri" w:eastAsia="Times New Roman" w:hAnsi="Calibri" w:cs="Calibri"/>
          <w:kern w:val="0"/>
          <w:sz w:val="24"/>
          <w:szCs w:val="24"/>
          <w:lang w:eastAsia="en-GB"/>
          <w14:ligatures w14:val="none"/>
        </w:rPr>
        <w:t xml:space="preserve">PBSA </w:t>
      </w:r>
      <w:r w:rsidR="005864DA" w:rsidRPr="00BB171C">
        <w:rPr>
          <w:rFonts w:ascii="Calibri" w:eastAsia="Times New Roman" w:hAnsi="Calibri" w:cs="Calibri"/>
          <w:kern w:val="0"/>
          <w:sz w:val="24"/>
          <w:szCs w:val="24"/>
          <w:lang w:eastAsia="en-GB"/>
          <w14:ligatures w14:val="none"/>
        </w:rPr>
        <w:t>is</w:t>
      </w:r>
      <w:r w:rsidRPr="00BB171C">
        <w:rPr>
          <w:rFonts w:ascii="Calibri" w:eastAsia="Times New Roman" w:hAnsi="Calibri" w:cs="Calibri"/>
          <w:kern w:val="0"/>
          <w:sz w:val="24"/>
          <w:szCs w:val="24"/>
          <w:lang w:eastAsia="en-GB"/>
          <w14:ligatures w14:val="none"/>
        </w:rPr>
        <w:t xml:space="preserve"> student housing that has been specifically designed and constructed for students, rather than adapted from existing residential properties. Everything from the room layouts to the communal spaces, security features, and management model is planned around student needs.</w:t>
      </w:r>
      <w:r w:rsidR="00450B2F" w:rsidRPr="00BB171C">
        <w:rPr>
          <w:rFonts w:ascii="Calibri" w:eastAsia="Times New Roman" w:hAnsi="Calibri" w:cs="Calibri"/>
          <w:kern w:val="0"/>
          <w:sz w:val="24"/>
          <w:szCs w:val="24"/>
          <w:lang w:eastAsia="en-GB"/>
          <w14:ligatures w14:val="none"/>
        </w:rPr>
        <w:t xml:space="preserve">  </w:t>
      </w:r>
    </w:p>
    <w:p w14:paraId="028CB477" w14:textId="77777777" w:rsidR="00502BF4" w:rsidRPr="00BB171C" w:rsidRDefault="00502BF4" w:rsidP="00BB171C">
      <w:pPr>
        <w:numPr>
          <w:ilvl w:val="0"/>
          <w:numId w:val="11"/>
        </w:numPr>
        <w:shd w:val="clear" w:color="auto" w:fill="FFFFFF"/>
        <w:spacing w:after="180" w:line="240" w:lineRule="auto"/>
        <w:jc w:val="both"/>
        <w:rPr>
          <w:rFonts w:ascii="Calibri" w:eastAsia="Times New Roman" w:hAnsi="Calibri" w:cs="Calibri"/>
          <w:color w:val="0A0A0A"/>
          <w:kern w:val="0"/>
          <w:sz w:val="24"/>
          <w:szCs w:val="24"/>
          <w:lang w:eastAsia="en-GB"/>
          <w14:ligatures w14:val="none"/>
        </w:rPr>
      </w:pPr>
      <w:r w:rsidRPr="00BB171C">
        <w:rPr>
          <w:rFonts w:ascii="Calibri" w:eastAsia="Times New Roman" w:hAnsi="Calibri" w:cs="Calibri"/>
          <w:b/>
          <w:bCs/>
          <w:color w:val="0A0A0A"/>
          <w:kern w:val="0"/>
          <w:sz w:val="24"/>
          <w:szCs w:val="24"/>
          <w:lang w:eastAsia="en-GB"/>
          <w14:ligatures w14:val="none"/>
        </w:rPr>
        <w:t>Code Compliance:</w:t>
      </w:r>
      <w:r w:rsidRPr="00BB171C">
        <w:rPr>
          <w:rFonts w:ascii="Calibri" w:eastAsia="Times New Roman" w:hAnsi="Calibri" w:cs="Calibri"/>
          <w:color w:val="0A0A0A"/>
          <w:kern w:val="0"/>
          <w:sz w:val="24"/>
          <w:szCs w:val="24"/>
          <w:lang w:eastAsia="en-GB"/>
          <w14:ligatures w14:val="none"/>
        </w:rPr>
        <w:t> To be exempt, providers must be members of approved housing management codes (e.g., ANUK/Unipol).</w:t>
      </w:r>
    </w:p>
    <w:p w14:paraId="6AF3E4C3" w14:textId="77777777" w:rsidR="00502BF4" w:rsidRPr="00BB171C" w:rsidRDefault="00502BF4" w:rsidP="00BB171C">
      <w:pPr>
        <w:numPr>
          <w:ilvl w:val="0"/>
          <w:numId w:val="11"/>
        </w:numPr>
        <w:shd w:val="clear" w:color="auto" w:fill="FFFFFF"/>
        <w:spacing w:after="180" w:line="240" w:lineRule="auto"/>
        <w:jc w:val="both"/>
        <w:rPr>
          <w:rFonts w:ascii="Calibri" w:eastAsia="Times New Roman" w:hAnsi="Calibri" w:cs="Calibri"/>
          <w:color w:val="0A0A0A"/>
          <w:kern w:val="0"/>
          <w:sz w:val="24"/>
          <w:szCs w:val="24"/>
          <w:lang w:eastAsia="en-GB"/>
          <w14:ligatures w14:val="none"/>
        </w:rPr>
      </w:pPr>
      <w:r w:rsidRPr="00BB171C">
        <w:rPr>
          <w:rFonts w:ascii="Calibri" w:eastAsia="Times New Roman" w:hAnsi="Calibri" w:cs="Calibri"/>
          <w:b/>
          <w:bCs/>
          <w:color w:val="0A0A0A"/>
          <w:kern w:val="0"/>
          <w:sz w:val="24"/>
          <w:szCs w:val="24"/>
          <w:lang w:eastAsia="en-GB"/>
          <w14:ligatures w14:val="none"/>
        </w:rPr>
        <w:t>Student Exclusivity:</w:t>
      </w:r>
      <w:r w:rsidRPr="00BB171C">
        <w:rPr>
          <w:rFonts w:ascii="Calibri" w:eastAsia="Times New Roman" w:hAnsi="Calibri" w:cs="Calibri"/>
          <w:color w:val="0A0A0A"/>
          <w:kern w:val="0"/>
          <w:sz w:val="24"/>
          <w:szCs w:val="24"/>
          <w:lang w:eastAsia="en-GB"/>
          <w14:ligatures w14:val="none"/>
        </w:rPr>
        <w:t> The accommodation must be occupied solely or principally by full-time students.</w:t>
      </w:r>
    </w:p>
    <w:p w14:paraId="299BFB23" w14:textId="74CA6971" w:rsidR="00502BF4" w:rsidRPr="00BB171C" w:rsidRDefault="00502BF4" w:rsidP="00BB171C">
      <w:pPr>
        <w:numPr>
          <w:ilvl w:val="0"/>
          <w:numId w:val="11"/>
        </w:numPr>
        <w:shd w:val="clear" w:color="auto" w:fill="FFFFFF"/>
        <w:spacing w:after="180" w:line="240" w:lineRule="auto"/>
        <w:jc w:val="both"/>
        <w:rPr>
          <w:rFonts w:ascii="Calibri" w:eastAsia="Times New Roman" w:hAnsi="Calibri" w:cs="Calibri"/>
          <w:kern w:val="0"/>
          <w:sz w:val="24"/>
          <w:szCs w:val="24"/>
          <w:lang w:eastAsia="en-GB"/>
          <w14:ligatures w14:val="none"/>
        </w:rPr>
      </w:pPr>
      <w:r w:rsidRPr="00BB171C">
        <w:rPr>
          <w:rFonts w:ascii="Calibri" w:eastAsia="Times New Roman" w:hAnsi="Calibri" w:cs="Calibri"/>
          <w:b/>
          <w:bCs/>
          <w:color w:val="0A0A0A"/>
          <w:kern w:val="0"/>
          <w:sz w:val="24"/>
          <w:szCs w:val="24"/>
          <w:lang w:eastAsia="en-GB"/>
          <w14:ligatures w14:val="none"/>
        </w:rPr>
        <w:t>Conditional Exemption:</w:t>
      </w:r>
      <w:r w:rsidRPr="00BB171C">
        <w:rPr>
          <w:rFonts w:ascii="Calibri" w:eastAsia="Times New Roman" w:hAnsi="Calibri" w:cs="Calibri"/>
          <w:color w:val="0A0A0A"/>
          <w:kern w:val="0"/>
          <w:sz w:val="24"/>
          <w:szCs w:val="24"/>
          <w:lang w:eastAsia="en-GB"/>
          <w14:ligatures w14:val="none"/>
        </w:rPr>
        <w:t> </w:t>
      </w:r>
      <w:r w:rsidR="00C77AFF" w:rsidRPr="00BB171C">
        <w:rPr>
          <w:rFonts w:ascii="Calibri" w:eastAsia="Times New Roman" w:hAnsi="Calibri" w:cs="Calibri"/>
          <w:b/>
          <w:bCs/>
          <w:kern w:val="0"/>
          <w:sz w:val="24"/>
          <w:szCs w:val="24"/>
          <w:lang w:eastAsia="en-GB"/>
          <w14:ligatures w14:val="none"/>
        </w:rPr>
        <w:t>Athena Hall</w:t>
      </w:r>
      <w:r w:rsidRPr="00BB171C">
        <w:rPr>
          <w:rFonts w:ascii="Calibri" w:eastAsia="Times New Roman" w:hAnsi="Calibri" w:cs="Calibri"/>
          <w:b/>
          <w:bCs/>
          <w:kern w:val="0"/>
          <w:sz w:val="24"/>
          <w:szCs w:val="24"/>
          <w:lang w:eastAsia="en-GB"/>
          <w14:ligatures w14:val="none"/>
        </w:rPr>
        <w:t xml:space="preserve"> can continue to offer fixed-term tenancies aligned with academic years, rather than the new periodic, open-ended structure.</w:t>
      </w:r>
      <w:r w:rsidRPr="00BB171C">
        <w:rPr>
          <w:rFonts w:ascii="Calibri" w:eastAsia="Times New Roman" w:hAnsi="Calibri" w:cs="Calibri"/>
          <w:kern w:val="0"/>
          <w:sz w:val="24"/>
          <w:szCs w:val="24"/>
          <w:lang w:eastAsia="en-GB"/>
          <w14:ligatures w14:val="none"/>
        </w:rPr>
        <w:t> </w:t>
      </w:r>
    </w:p>
    <w:p w14:paraId="3910D919" w14:textId="06E3630B" w:rsidR="00550B35" w:rsidRPr="00BB171C" w:rsidRDefault="00550B35" w:rsidP="00BB171C">
      <w:pPr>
        <w:pStyle w:val="ListParagraph"/>
        <w:numPr>
          <w:ilvl w:val="0"/>
          <w:numId w:val="17"/>
        </w:numPr>
        <w:spacing w:before="480" w:after="360" w:line="240" w:lineRule="auto"/>
        <w:jc w:val="both"/>
        <w:outlineLvl w:val="2"/>
        <w:rPr>
          <w:rFonts w:ascii="Calibri" w:eastAsia="Times New Roman" w:hAnsi="Calibri" w:cs="Calibri"/>
          <w:color w:val="0070C0"/>
          <w:kern w:val="0"/>
          <w:sz w:val="24"/>
          <w:szCs w:val="24"/>
          <w:lang w:eastAsia="en-GB"/>
          <w14:ligatures w14:val="none"/>
        </w:rPr>
      </w:pPr>
      <w:r w:rsidRPr="00BB171C">
        <w:rPr>
          <w:rFonts w:ascii="Calibri" w:eastAsia="Times New Roman" w:hAnsi="Calibri" w:cs="Calibri"/>
          <w:b/>
          <w:bCs/>
          <w:kern w:val="0"/>
          <w:sz w:val="24"/>
          <w:szCs w:val="24"/>
          <w:lang w:eastAsia="en-GB"/>
          <w14:ligatures w14:val="none"/>
        </w:rPr>
        <w:t xml:space="preserve">Student Houses </w:t>
      </w:r>
      <w:r w:rsidR="00D6086A" w:rsidRPr="00BB171C">
        <w:rPr>
          <w:rFonts w:ascii="Calibri" w:eastAsia="Times New Roman" w:hAnsi="Calibri" w:cs="Calibri"/>
          <w:b/>
          <w:bCs/>
          <w:kern w:val="0"/>
          <w:sz w:val="24"/>
          <w:szCs w:val="24"/>
          <w:lang w:eastAsia="en-GB"/>
          <w14:ligatures w14:val="none"/>
        </w:rPr>
        <w:t>of</w:t>
      </w:r>
      <w:r w:rsidRPr="00BB171C">
        <w:rPr>
          <w:rFonts w:ascii="Calibri" w:eastAsia="Times New Roman" w:hAnsi="Calibri" w:cs="Calibri"/>
          <w:b/>
          <w:bCs/>
          <w:kern w:val="0"/>
          <w:sz w:val="24"/>
          <w:szCs w:val="24"/>
          <w:lang w:eastAsia="en-GB"/>
          <w14:ligatures w14:val="none"/>
        </w:rPr>
        <w:t xml:space="preserve"> </w:t>
      </w:r>
      <w:r w:rsidR="00323E0F" w:rsidRPr="00BB171C">
        <w:rPr>
          <w:rFonts w:ascii="Calibri" w:eastAsia="Times New Roman" w:hAnsi="Calibri" w:cs="Calibri"/>
          <w:b/>
          <w:bCs/>
          <w:kern w:val="0"/>
          <w:sz w:val="24"/>
          <w:szCs w:val="24"/>
          <w:lang w:eastAsia="en-GB"/>
          <w14:ligatures w14:val="none"/>
        </w:rPr>
        <w:t>M</w:t>
      </w:r>
      <w:r w:rsidRPr="00BB171C">
        <w:rPr>
          <w:rFonts w:ascii="Calibri" w:eastAsia="Times New Roman" w:hAnsi="Calibri" w:cs="Calibri"/>
          <w:b/>
          <w:bCs/>
          <w:kern w:val="0"/>
          <w:sz w:val="24"/>
          <w:szCs w:val="24"/>
          <w:lang w:eastAsia="en-GB"/>
          <w14:ligatures w14:val="none"/>
        </w:rPr>
        <w:t xml:space="preserve">ultiple </w:t>
      </w:r>
      <w:r w:rsidR="00323E0F" w:rsidRPr="00BB171C">
        <w:rPr>
          <w:rFonts w:ascii="Calibri" w:eastAsia="Times New Roman" w:hAnsi="Calibri" w:cs="Calibri"/>
          <w:b/>
          <w:bCs/>
          <w:kern w:val="0"/>
          <w:sz w:val="24"/>
          <w:szCs w:val="24"/>
          <w:lang w:eastAsia="en-GB"/>
          <w14:ligatures w14:val="none"/>
        </w:rPr>
        <w:t>O</w:t>
      </w:r>
      <w:r w:rsidRPr="00BB171C">
        <w:rPr>
          <w:rFonts w:ascii="Calibri" w:eastAsia="Times New Roman" w:hAnsi="Calibri" w:cs="Calibri"/>
          <w:b/>
          <w:bCs/>
          <w:kern w:val="0"/>
          <w:sz w:val="24"/>
          <w:szCs w:val="24"/>
          <w:lang w:eastAsia="en-GB"/>
          <w14:ligatures w14:val="none"/>
        </w:rPr>
        <w:t xml:space="preserve">ccupation </w:t>
      </w:r>
      <w:r w:rsidR="00235CF3" w:rsidRPr="00BB171C">
        <w:rPr>
          <w:rFonts w:ascii="Calibri" w:eastAsia="Times New Roman" w:hAnsi="Calibri" w:cs="Calibri"/>
          <w:kern w:val="0"/>
          <w:sz w:val="24"/>
          <w:szCs w:val="24"/>
          <w:lang w:eastAsia="en-GB"/>
          <w14:ligatures w14:val="none"/>
        </w:rPr>
        <w:t xml:space="preserve">this includes </w:t>
      </w:r>
      <w:hyperlink r:id="rId8" w:history="1">
        <w:r w:rsidR="00235CF3" w:rsidRPr="00BB171C">
          <w:rPr>
            <w:rStyle w:val="Hyperlink"/>
            <w:rFonts w:ascii="Calibri" w:eastAsia="Times New Roman" w:hAnsi="Calibri" w:cs="Calibri"/>
            <w:kern w:val="0"/>
            <w:sz w:val="24"/>
            <w:szCs w:val="24"/>
            <w:lang w:eastAsia="en-GB"/>
            <w14:ligatures w14:val="none"/>
          </w:rPr>
          <w:t>Ormonde House</w:t>
        </w:r>
      </w:hyperlink>
      <w:r w:rsidR="00097B3D" w:rsidRPr="00BB171C">
        <w:rPr>
          <w:rFonts w:ascii="Calibri" w:eastAsia="Times New Roman" w:hAnsi="Calibri" w:cs="Calibri"/>
          <w:color w:val="0070C0"/>
          <w:kern w:val="0"/>
          <w:sz w:val="24"/>
          <w:szCs w:val="24"/>
          <w:lang w:eastAsia="en-GB"/>
          <w14:ligatures w14:val="none"/>
        </w:rPr>
        <w:t xml:space="preserve">, </w:t>
      </w:r>
      <w:hyperlink r:id="rId9" w:history="1">
        <w:r w:rsidR="007A14E9" w:rsidRPr="00BB171C">
          <w:rPr>
            <w:rFonts w:ascii="Calibri" w:hAnsi="Calibri" w:cs="Calibri"/>
            <w:color w:val="0000FF"/>
            <w:sz w:val="24"/>
            <w:szCs w:val="24"/>
            <w:u w:val="single"/>
          </w:rPr>
          <w:t xml:space="preserve">75 Grimwade Street </w:t>
        </w:r>
      </w:hyperlink>
      <w:r w:rsidR="00097B3D" w:rsidRPr="00BB171C">
        <w:rPr>
          <w:rFonts w:ascii="Calibri" w:hAnsi="Calibri" w:cs="Calibri"/>
          <w:sz w:val="24"/>
          <w:szCs w:val="24"/>
        </w:rPr>
        <w:t xml:space="preserve">, and </w:t>
      </w:r>
      <w:hyperlink r:id="rId10" w:history="1">
        <w:r w:rsidR="00323E0F" w:rsidRPr="00BB171C">
          <w:rPr>
            <w:rStyle w:val="Hyperlink"/>
            <w:rFonts w:ascii="Calibri" w:hAnsi="Calibri" w:cs="Calibri"/>
            <w:sz w:val="24"/>
            <w:szCs w:val="24"/>
          </w:rPr>
          <w:t>Oxford Road</w:t>
        </w:r>
      </w:hyperlink>
      <w:r w:rsidR="00323E0F" w:rsidRPr="00BB171C">
        <w:rPr>
          <w:rFonts w:ascii="Calibri" w:hAnsi="Calibri" w:cs="Calibri"/>
          <w:sz w:val="24"/>
          <w:szCs w:val="24"/>
        </w:rPr>
        <w:t xml:space="preserve"> </w:t>
      </w:r>
    </w:p>
    <w:p w14:paraId="7B1674C7" w14:textId="3B1CFC77" w:rsidR="00536F40" w:rsidRPr="00BB171C" w:rsidRDefault="00450B2F" w:rsidP="00BB171C">
      <w:pPr>
        <w:shd w:val="clear" w:color="auto" w:fill="FFFFFF"/>
        <w:spacing w:after="100" w:afterAutospacing="1" w:line="240" w:lineRule="auto"/>
        <w:jc w:val="both"/>
        <w:rPr>
          <w:rFonts w:ascii="Calibri" w:eastAsia="Times New Roman" w:hAnsi="Calibri" w:cs="Calibri"/>
          <w:kern w:val="0"/>
          <w:sz w:val="24"/>
          <w:szCs w:val="24"/>
          <w:lang w:eastAsia="en-GB"/>
          <w14:ligatures w14:val="none"/>
        </w:rPr>
      </w:pPr>
      <w:r w:rsidRPr="00BB171C">
        <w:rPr>
          <w:rFonts w:ascii="Calibri" w:eastAsia="Times New Roman" w:hAnsi="Calibri" w:cs="Calibri"/>
          <w:kern w:val="0"/>
          <w:sz w:val="24"/>
          <w:szCs w:val="24"/>
          <w:lang w:eastAsia="en-GB"/>
          <w14:ligatures w14:val="none"/>
        </w:rPr>
        <w:t xml:space="preserve">Traditional </w:t>
      </w:r>
      <w:r w:rsidR="00F87393" w:rsidRPr="00BB171C">
        <w:rPr>
          <w:rFonts w:ascii="Calibri" w:eastAsia="Times New Roman" w:hAnsi="Calibri" w:cs="Calibri"/>
          <w:kern w:val="0"/>
          <w:sz w:val="24"/>
          <w:szCs w:val="24"/>
          <w:lang w:eastAsia="en-GB"/>
          <w14:ligatures w14:val="none"/>
        </w:rPr>
        <w:t>S</w:t>
      </w:r>
      <w:r w:rsidRPr="00BB171C">
        <w:rPr>
          <w:rFonts w:ascii="Calibri" w:eastAsia="Times New Roman" w:hAnsi="Calibri" w:cs="Calibri"/>
          <w:kern w:val="0"/>
          <w:sz w:val="24"/>
          <w:szCs w:val="24"/>
          <w:lang w:eastAsia="en-GB"/>
          <w14:ligatures w14:val="none"/>
        </w:rPr>
        <w:t xml:space="preserve">tudent </w:t>
      </w:r>
      <w:r w:rsidR="00F87393" w:rsidRPr="00BB171C">
        <w:rPr>
          <w:rFonts w:ascii="Calibri" w:eastAsia="Times New Roman" w:hAnsi="Calibri" w:cs="Calibri"/>
          <w:kern w:val="0"/>
          <w:sz w:val="24"/>
          <w:szCs w:val="24"/>
          <w:lang w:eastAsia="en-GB"/>
          <w14:ligatures w14:val="none"/>
        </w:rPr>
        <w:t>H</w:t>
      </w:r>
      <w:r w:rsidRPr="00BB171C">
        <w:rPr>
          <w:rFonts w:ascii="Calibri" w:eastAsia="Times New Roman" w:hAnsi="Calibri" w:cs="Calibri"/>
          <w:kern w:val="0"/>
          <w:sz w:val="24"/>
          <w:szCs w:val="24"/>
          <w:lang w:eastAsia="en-GB"/>
          <w14:ligatures w14:val="none"/>
        </w:rPr>
        <w:t xml:space="preserve">ouses are often </w:t>
      </w:r>
      <w:r w:rsidR="00536F40" w:rsidRPr="00BB171C">
        <w:rPr>
          <w:rFonts w:ascii="Calibri" w:eastAsia="Times New Roman" w:hAnsi="Calibri" w:cs="Calibri"/>
          <w:kern w:val="0"/>
          <w:sz w:val="24"/>
          <w:szCs w:val="24"/>
          <w:lang w:eastAsia="en-GB"/>
          <w14:ligatures w14:val="none"/>
        </w:rPr>
        <w:t>(but not always</w:t>
      </w:r>
      <w:r w:rsidR="00410E37" w:rsidRPr="00BB171C">
        <w:rPr>
          <w:rFonts w:ascii="Calibri" w:eastAsia="Times New Roman" w:hAnsi="Calibri" w:cs="Calibri"/>
          <w:kern w:val="0"/>
          <w:sz w:val="24"/>
          <w:szCs w:val="24"/>
          <w:lang w:eastAsia="en-GB"/>
          <w14:ligatures w14:val="none"/>
        </w:rPr>
        <w:t>, as is the case with 75 Grimwade Street</w:t>
      </w:r>
      <w:r w:rsidR="00536F40" w:rsidRPr="00BB171C">
        <w:rPr>
          <w:rFonts w:ascii="Calibri" w:eastAsia="Times New Roman" w:hAnsi="Calibri" w:cs="Calibri"/>
          <w:kern w:val="0"/>
          <w:sz w:val="24"/>
          <w:szCs w:val="24"/>
          <w:lang w:eastAsia="en-GB"/>
          <w14:ligatures w14:val="none"/>
        </w:rPr>
        <w:t xml:space="preserve">) </w:t>
      </w:r>
      <w:r w:rsidRPr="00BB171C">
        <w:rPr>
          <w:rFonts w:ascii="Calibri" w:eastAsia="Times New Roman" w:hAnsi="Calibri" w:cs="Calibri"/>
          <w:kern w:val="0"/>
          <w:sz w:val="24"/>
          <w:szCs w:val="24"/>
          <w:lang w:eastAsia="en-GB"/>
          <w14:ligatures w14:val="none"/>
        </w:rPr>
        <w:t xml:space="preserve">standard family homes that have been adapted into shared accommodation. </w:t>
      </w:r>
      <w:r w:rsidR="008552F2" w:rsidRPr="00BB171C">
        <w:rPr>
          <w:rFonts w:ascii="Calibri" w:eastAsia="Times New Roman" w:hAnsi="Calibri" w:cs="Calibri"/>
          <w:kern w:val="0"/>
          <w:sz w:val="24"/>
          <w:szCs w:val="24"/>
          <w:lang w:eastAsia="en-GB"/>
          <w14:ligatures w14:val="none"/>
        </w:rPr>
        <w:t xml:space="preserve"> </w:t>
      </w:r>
    </w:p>
    <w:p w14:paraId="566578C9" w14:textId="1A9AA6D1" w:rsidR="00550B35" w:rsidRPr="00BB171C" w:rsidRDefault="00A46CE7" w:rsidP="00BB171C">
      <w:pPr>
        <w:shd w:val="clear" w:color="auto" w:fill="FFFFFF"/>
        <w:spacing w:after="100" w:afterAutospacing="1" w:line="240" w:lineRule="auto"/>
        <w:jc w:val="both"/>
        <w:rPr>
          <w:rFonts w:ascii="Calibri" w:eastAsia="Times New Roman" w:hAnsi="Calibri" w:cs="Calibri"/>
          <w:kern w:val="0"/>
          <w:sz w:val="24"/>
          <w:szCs w:val="24"/>
          <w:lang w:eastAsia="en-GB"/>
          <w14:ligatures w14:val="none"/>
        </w:rPr>
      </w:pPr>
      <w:r w:rsidRPr="00BB171C">
        <w:rPr>
          <w:rFonts w:ascii="Calibri" w:eastAsia="Times New Roman" w:hAnsi="Calibri" w:cs="Calibri"/>
          <w:kern w:val="0"/>
          <w:sz w:val="24"/>
          <w:szCs w:val="24"/>
          <w:lang w:eastAsia="en-GB"/>
          <w14:ligatures w14:val="none"/>
        </w:rPr>
        <w:lastRenderedPageBreak/>
        <w:t xml:space="preserve">Student </w:t>
      </w:r>
      <w:r w:rsidR="00550B35" w:rsidRPr="00BB171C">
        <w:rPr>
          <w:rFonts w:ascii="Calibri" w:eastAsia="Times New Roman" w:hAnsi="Calibri" w:cs="Calibri"/>
          <w:kern w:val="0"/>
          <w:sz w:val="24"/>
          <w:szCs w:val="24"/>
          <w:lang w:eastAsia="en-GB"/>
          <w14:ligatures w14:val="none"/>
        </w:rPr>
        <w:t xml:space="preserve">Houses </w:t>
      </w:r>
      <w:r w:rsidRPr="00BB171C">
        <w:rPr>
          <w:rFonts w:ascii="Calibri" w:eastAsia="Times New Roman" w:hAnsi="Calibri" w:cs="Calibri"/>
          <w:kern w:val="0"/>
          <w:sz w:val="24"/>
          <w:szCs w:val="24"/>
          <w:lang w:eastAsia="en-GB"/>
          <w14:ligatures w14:val="none"/>
        </w:rPr>
        <w:t>of</w:t>
      </w:r>
      <w:r w:rsidR="00550B35" w:rsidRPr="00BB171C">
        <w:rPr>
          <w:rFonts w:ascii="Calibri" w:eastAsia="Times New Roman" w:hAnsi="Calibri" w:cs="Calibri"/>
          <w:kern w:val="0"/>
          <w:sz w:val="24"/>
          <w:szCs w:val="24"/>
          <w:lang w:eastAsia="en-GB"/>
          <w14:ligatures w14:val="none"/>
        </w:rPr>
        <w:t xml:space="preserve"> multiple occupation (HMO) tenancies will transfer to </w:t>
      </w:r>
      <w:r w:rsidR="00067DC2" w:rsidRPr="00BB171C">
        <w:rPr>
          <w:rFonts w:ascii="Calibri" w:eastAsia="Times New Roman" w:hAnsi="Calibri" w:cs="Calibri"/>
          <w:kern w:val="0"/>
          <w:sz w:val="24"/>
          <w:szCs w:val="24"/>
          <w:lang w:eastAsia="en-GB"/>
          <w14:ligatures w14:val="none"/>
        </w:rPr>
        <w:t>Assured Periodic Tenanc</w:t>
      </w:r>
      <w:r w:rsidR="00536F40" w:rsidRPr="00BB171C">
        <w:rPr>
          <w:rFonts w:ascii="Calibri" w:eastAsia="Times New Roman" w:hAnsi="Calibri" w:cs="Calibri"/>
          <w:kern w:val="0"/>
          <w:sz w:val="24"/>
          <w:szCs w:val="24"/>
          <w:lang w:eastAsia="en-GB"/>
          <w14:ligatures w14:val="none"/>
        </w:rPr>
        <w:t>ies (</w:t>
      </w:r>
      <w:r w:rsidR="00550B35" w:rsidRPr="00BB171C">
        <w:rPr>
          <w:rFonts w:ascii="Calibri" w:eastAsia="Times New Roman" w:hAnsi="Calibri" w:cs="Calibri"/>
          <w:kern w:val="0"/>
          <w:sz w:val="24"/>
          <w:szCs w:val="24"/>
          <w:lang w:eastAsia="en-GB"/>
          <w14:ligatures w14:val="none"/>
        </w:rPr>
        <w:t>APTs</w:t>
      </w:r>
      <w:r w:rsidR="00536F40" w:rsidRPr="00BB171C">
        <w:rPr>
          <w:rFonts w:ascii="Calibri" w:eastAsia="Times New Roman" w:hAnsi="Calibri" w:cs="Calibri"/>
          <w:kern w:val="0"/>
          <w:sz w:val="24"/>
          <w:szCs w:val="24"/>
          <w:lang w:eastAsia="en-GB"/>
          <w14:ligatures w14:val="none"/>
        </w:rPr>
        <w:t>)</w:t>
      </w:r>
      <w:r w:rsidR="00550B35" w:rsidRPr="00BB171C">
        <w:rPr>
          <w:rFonts w:ascii="Calibri" w:eastAsia="Times New Roman" w:hAnsi="Calibri" w:cs="Calibri"/>
          <w:kern w:val="0"/>
          <w:sz w:val="24"/>
          <w:szCs w:val="24"/>
          <w:lang w:eastAsia="en-GB"/>
          <w14:ligatures w14:val="none"/>
        </w:rPr>
        <w:t xml:space="preserve"> on 1 May 2026 </w:t>
      </w:r>
      <w:r w:rsidR="00550B35" w:rsidRPr="00BB171C">
        <w:rPr>
          <w:rFonts w:ascii="Calibri" w:eastAsia="Times New Roman" w:hAnsi="Calibri" w:cs="Calibri"/>
          <w:b/>
          <w:bCs/>
          <w:kern w:val="0"/>
          <w:sz w:val="24"/>
          <w:szCs w:val="24"/>
          <w:lang w:eastAsia="en-GB"/>
          <w14:ligatures w14:val="none"/>
        </w:rPr>
        <w:t>as there is no exception equivalent to that provided to PBSA lettings.</w:t>
      </w:r>
    </w:p>
    <w:p w14:paraId="013D4909" w14:textId="4A2D23C3" w:rsidR="000F2F16" w:rsidRPr="00BB171C" w:rsidRDefault="0066746D" w:rsidP="00BB171C">
      <w:pPr>
        <w:pStyle w:val="ListParagraph"/>
        <w:numPr>
          <w:ilvl w:val="0"/>
          <w:numId w:val="12"/>
        </w:numPr>
        <w:spacing w:before="240" w:after="240" w:line="240" w:lineRule="auto"/>
        <w:jc w:val="both"/>
        <w:rPr>
          <w:rFonts w:ascii="Calibri" w:hAnsi="Calibri" w:cs="Calibri"/>
          <w:sz w:val="24"/>
          <w:szCs w:val="24"/>
        </w:rPr>
      </w:pPr>
      <w:r w:rsidRPr="00BB171C">
        <w:rPr>
          <w:rFonts w:ascii="Calibri" w:eastAsia="Times New Roman" w:hAnsi="Calibri" w:cs="Calibri"/>
          <w:b/>
          <w:bCs/>
          <w:kern w:val="0"/>
          <w:sz w:val="24"/>
          <w:szCs w:val="24"/>
          <w:lang w:eastAsia="en-GB"/>
          <w14:ligatures w14:val="none"/>
        </w:rPr>
        <w:t>Ground 4A:</w:t>
      </w:r>
      <w:r w:rsidRPr="00BB171C">
        <w:rPr>
          <w:rFonts w:ascii="Calibri" w:eastAsia="Times New Roman" w:hAnsi="Calibri" w:cs="Calibri"/>
          <w:kern w:val="0"/>
          <w:sz w:val="24"/>
          <w:szCs w:val="24"/>
          <w:lang w:eastAsia="en-GB"/>
          <w14:ligatures w14:val="none"/>
        </w:rPr>
        <w:t xml:space="preserve"> </w:t>
      </w:r>
      <w:r w:rsidR="00550B35" w:rsidRPr="00BB171C">
        <w:rPr>
          <w:rFonts w:ascii="Calibri" w:eastAsia="Times New Roman" w:hAnsi="Calibri" w:cs="Calibri"/>
          <w:kern w:val="0"/>
          <w:sz w:val="24"/>
          <w:szCs w:val="24"/>
          <w:lang w:eastAsia="en-GB"/>
          <w14:ligatures w14:val="none"/>
        </w:rPr>
        <w:t xml:space="preserve">The Act’s application to student HMOs does, however, introduce a new ground for possession (Ground 4A), which provides landlords with a legal mechanism to regain possession of a property let to students aligned with the academic year. This possession right is exclusive to </w:t>
      </w:r>
      <w:r w:rsidR="009F48BF" w:rsidRPr="00BB171C">
        <w:rPr>
          <w:rFonts w:ascii="Calibri" w:eastAsia="Times New Roman" w:hAnsi="Calibri" w:cs="Calibri"/>
          <w:kern w:val="0"/>
          <w:sz w:val="24"/>
          <w:szCs w:val="24"/>
          <w:lang w:eastAsia="en-GB"/>
          <w14:ligatures w14:val="none"/>
        </w:rPr>
        <w:t>S</w:t>
      </w:r>
      <w:r w:rsidR="00550B35" w:rsidRPr="00BB171C">
        <w:rPr>
          <w:rFonts w:ascii="Calibri" w:eastAsia="Times New Roman" w:hAnsi="Calibri" w:cs="Calibri"/>
          <w:kern w:val="0"/>
          <w:sz w:val="24"/>
          <w:szCs w:val="24"/>
          <w:lang w:eastAsia="en-GB"/>
          <w14:ligatures w14:val="none"/>
        </w:rPr>
        <w:t>tudent HMOs</w:t>
      </w:r>
      <w:r w:rsidR="009F48BF" w:rsidRPr="00BB171C">
        <w:rPr>
          <w:rFonts w:ascii="Calibri" w:eastAsia="Times New Roman" w:hAnsi="Calibri" w:cs="Calibri"/>
          <w:kern w:val="0"/>
          <w:sz w:val="24"/>
          <w:szCs w:val="24"/>
          <w:lang w:eastAsia="en-GB"/>
          <w14:ligatures w14:val="none"/>
        </w:rPr>
        <w:t>.</w:t>
      </w:r>
    </w:p>
    <w:p w14:paraId="3953F9C1" w14:textId="7562C4F4" w:rsidR="003671B9" w:rsidRPr="00BB171C" w:rsidRDefault="00410E37" w:rsidP="00BB171C">
      <w:pPr>
        <w:pStyle w:val="ListParagraph"/>
        <w:numPr>
          <w:ilvl w:val="0"/>
          <w:numId w:val="12"/>
        </w:numPr>
        <w:shd w:val="clear" w:color="auto" w:fill="FFFFFF"/>
        <w:spacing w:before="240" w:after="100" w:afterAutospacing="1" w:line="240" w:lineRule="auto"/>
        <w:jc w:val="both"/>
        <w:outlineLvl w:val="1"/>
        <w:rPr>
          <w:rFonts w:ascii="Calibri" w:eastAsia="Times New Roman" w:hAnsi="Calibri" w:cs="Calibri"/>
          <w:color w:val="333333"/>
          <w:kern w:val="0"/>
          <w:sz w:val="24"/>
          <w:szCs w:val="24"/>
          <w:lang w:eastAsia="en-GB"/>
          <w14:ligatures w14:val="none"/>
        </w:rPr>
      </w:pPr>
      <w:r w:rsidRPr="00BB171C">
        <w:rPr>
          <w:rFonts w:ascii="Calibri" w:eastAsia="Times New Roman" w:hAnsi="Calibri" w:cs="Calibri"/>
          <w:b/>
          <w:bCs/>
          <w:kern w:val="0"/>
          <w:sz w:val="24"/>
          <w:szCs w:val="24"/>
          <w:lang w:eastAsia="en-GB"/>
          <w14:ligatures w14:val="none"/>
        </w:rPr>
        <w:t>APTs:</w:t>
      </w:r>
      <w:r w:rsidRPr="00BB171C">
        <w:rPr>
          <w:rFonts w:ascii="Calibri" w:hAnsi="Calibri" w:cs="Calibri"/>
          <w:sz w:val="24"/>
          <w:szCs w:val="24"/>
        </w:rPr>
        <w:t xml:space="preserve"> Assured Periodic Tenancies replace the fixed term tenancy that would have see students sign up for a 44 week or </w:t>
      </w:r>
      <w:proofErr w:type="gramStart"/>
      <w:r w:rsidRPr="00BB171C">
        <w:rPr>
          <w:rFonts w:ascii="Calibri" w:hAnsi="Calibri" w:cs="Calibri"/>
          <w:sz w:val="24"/>
          <w:szCs w:val="24"/>
        </w:rPr>
        <w:t>52 week</w:t>
      </w:r>
      <w:proofErr w:type="gramEnd"/>
      <w:r w:rsidRPr="00BB171C">
        <w:rPr>
          <w:rFonts w:ascii="Calibri" w:hAnsi="Calibri" w:cs="Calibri"/>
          <w:sz w:val="24"/>
          <w:szCs w:val="24"/>
        </w:rPr>
        <w:t xml:space="preserve"> tenancy for example. This will now be a rolling monthly tenancy that a student can leave by giving two </w:t>
      </w:r>
      <w:r w:rsidR="003C562D" w:rsidRPr="00BB171C">
        <w:rPr>
          <w:rFonts w:ascii="Calibri" w:hAnsi="Calibri" w:cs="Calibri"/>
          <w:sz w:val="24"/>
          <w:szCs w:val="24"/>
        </w:rPr>
        <w:t>months’ notice</w:t>
      </w:r>
      <w:r w:rsidRPr="00BB171C">
        <w:rPr>
          <w:rFonts w:ascii="Calibri" w:hAnsi="Calibri" w:cs="Calibri"/>
          <w:sz w:val="24"/>
          <w:szCs w:val="24"/>
        </w:rPr>
        <w:t xml:space="preserve">.  A landlord can not ask </w:t>
      </w:r>
      <w:r w:rsidR="00457AAD">
        <w:rPr>
          <w:rFonts w:ascii="Calibri" w:hAnsi="Calibri" w:cs="Calibri"/>
          <w:sz w:val="24"/>
          <w:szCs w:val="24"/>
        </w:rPr>
        <w:t>a student</w:t>
      </w:r>
      <w:r w:rsidRPr="00BB171C">
        <w:rPr>
          <w:rFonts w:ascii="Calibri" w:hAnsi="Calibri" w:cs="Calibri"/>
          <w:sz w:val="24"/>
          <w:szCs w:val="24"/>
        </w:rPr>
        <w:t xml:space="preserve"> for more that one months rent in advance.  </w:t>
      </w:r>
      <w:r w:rsidR="00457AAD">
        <w:rPr>
          <w:rFonts w:ascii="Calibri" w:hAnsi="Calibri" w:cs="Calibri"/>
          <w:sz w:val="24"/>
          <w:szCs w:val="24"/>
        </w:rPr>
        <w:t xml:space="preserve">Although a student can pay their rent in line with their maintenance payments from Student Finance England, if they </w:t>
      </w:r>
      <w:r w:rsidR="003C562D">
        <w:rPr>
          <w:rFonts w:ascii="Calibri" w:hAnsi="Calibri" w:cs="Calibri"/>
          <w:sz w:val="24"/>
          <w:szCs w:val="24"/>
        </w:rPr>
        <w:t>agree</w:t>
      </w:r>
      <w:r w:rsidR="007803E6">
        <w:rPr>
          <w:rFonts w:ascii="Calibri" w:hAnsi="Calibri" w:cs="Calibri"/>
          <w:sz w:val="24"/>
          <w:szCs w:val="24"/>
        </w:rPr>
        <w:t xml:space="preserve"> this</w:t>
      </w:r>
      <w:r w:rsidR="003C562D">
        <w:rPr>
          <w:rFonts w:ascii="Calibri" w:hAnsi="Calibri" w:cs="Calibri"/>
          <w:sz w:val="24"/>
          <w:szCs w:val="24"/>
        </w:rPr>
        <w:t xml:space="preserve"> with the landlord before signing the </w:t>
      </w:r>
      <w:r w:rsidR="00C24A87">
        <w:rPr>
          <w:rFonts w:ascii="Calibri" w:hAnsi="Calibri" w:cs="Calibri"/>
          <w:sz w:val="24"/>
          <w:szCs w:val="24"/>
        </w:rPr>
        <w:t>tenancy</w:t>
      </w:r>
      <w:r w:rsidR="007803E6">
        <w:rPr>
          <w:rFonts w:ascii="Calibri" w:hAnsi="Calibri" w:cs="Calibri"/>
          <w:sz w:val="24"/>
          <w:szCs w:val="24"/>
        </w:rPr>
        <w:t xml:space="preserve">. </w:t>
      </w:r>
      <w:r w:rsidR="007803E6" w:rsidRPr="00C24A87">
        <w:rPr>
          <w:rFonts w:ascii="Calibri" w:hAnsi="Calibri" w:cs="Calibri"/>
          <w:b/>
          <w:bCs/>
          <w:sz w:val="24"/>
          <w:szCs w:val="24"/>
        </w:rPr>
        <w:t>Onus is on the student to arrange this if it suits them, a</w:t>
      </w:r>
      <w:r w:rsidR="003C562D" w:rsidRPr="00C24A87">
        <w:rPr>
          <w:rFonts w:ascii="Calibri" w:hAnsi="Calibri" w:cs="Calibri"/>
          <w:b/>
          <w:bCs/>
          <w:sz w:val="24"/>
          <w:szCs w:val="24"/>
        </w:rPr>
        <w:t xml:space="preserve">s a </w:t>
      </w:r>
      <w:r w:rsidR="007803E6" w:rsidRPr="00C24A87">
        <w:rPr>
          <w:rFonts w:ascii="Calibri" w:hAnsi="Calibri" w:cs="Calibri"/>
          <w:b/>
          <w:bCs/>
          <w:sz w:val="24"/>
          <w:szCs w:val="24"/>
        </w:rPr>
        <w:t xml:space="preserve">landlord </w:t>
      </w:r>
      <w:r w:rsidR="003C562D" w:rsidRPr="00C24A87">
        <w:rPr>
          <w:rFonts w:ascii="Calibri" w:hAnsi="Calibri" w:cs="Calibri"/>
          <w:b/>
          <w:bCs/>
          <w:sz w:val="24"/>
          <w:szCs w:val="24"/>
        </w:rPr>
        <w:t>cannot</w:t>
      </w:r>
      <w:r w:rsidR="007803E6" w:rsidRPr="00C24A87">
        <w:rPr>
          <w:rFonts w:ascii="Calibri" w:hAnsi="Calibri" w:cs="Calibri"/>
          <w:b/>
          <w:bCs/>
          <w:sz w:val="24"/>
          <w:szCs w:val="24"/>
        </w:rPr>
        <w:t xml:space="preserve"> ask for this.</w:t>
      </w:r>
      <w:r w:rsidR="007803E6" w:rsidRPr="00C24A87">
        <w:rPr>
          <w:rFonts w:ascii="Calibri" w:eastAsia="Times New Roman" w:hAnsi="Calibri" w:cs="Calibri"/>
          <w:color w:val="333333"/>
          <w:kern w:val="0"/>
          <w:sz w:val="24"/>
          <w:szCs w:val="24"/>
          <w:lang w:eastAsia="en-GB"/>
          <w14:ligatures w14:val="none"/>
        </w:rPr>
        <w:t xml:space="preserve"> </w:t>
      </w:r>
    </w:p>
    <w:p w14:paraId="771FE022" w14:textId="77777777" w:rsidR="003671B9" w:rsidRPr="00BB171C" w:rsidRDefault="003671B9" w:rsidP="00BB171C">
      <w:pPr>
        <w:pStyle w:val="ListParagraph"/>
        <w:shd w:val="clear" w:color="auto" w:fill="FFFFFF"/>
        <w:spacing w:before="240" w:after="100" w:afterAutospacing="1" w:line="240" w:lineRule="auto"/>
        <w:jc w:val="both"/>
        <w:outlineLvl w:val="1"/>
        <w:rPr>
          <w:rFonts w:ascii="Calibri" w:eastAsia="Times New Roman" w:hAnsi="Calibri" w:cs="Calibri"/>
          <w:color w:val="333333"/>
          <w:kern w:val="0"/>
          <w:sz w:val="24"/>
          <w:szCs w:val="24"/>
          <w:lang w:eastAsia="en-GB"/>
          <w14:ligatures w14:val="none"/>
        </w:rPr>
      </w:pPr>
    </w:p>
    <w:p w14:paraId="51FEE212" w14:textId="211109F4" w:rsidR="00BB171C" w:rsidRDefault="00BB171C">
      <w:pPr>
        <w:rPr>
          <w:rFonts w:ascii="Calibri" w:eastAsia="Times New Roman" w:hAnsi="Calibri" w:cs="Calibri"/>
          <w:color w:val="333333"/>
          <w:kern w:val="0"/>
          <w:sz w:val="24"/>
          <w:szCs w:val="24"/>
          <w:lang w:eastAsia="en-GB"/>
          <w14:ligatures w14:val="none"/>
        </w:rPr>
      </w:pPr>
      <w:r>
        <w:rPr>
          <w:rFonts w:ascii="Calibri" w:eastAsia="Times New Roman" w:hAnsi="Calibri" w:cs="Calibri"/>
          <w:color w:val="333333"/>
          <w:kern w:val="0"/>
          <w:sz w:val="24"/>
          <w:szCs w:val="24"/>
          <w:lang w:eastAsia="en-GB"/>
          <w14:ligatures w14:val="none"/>
        </w:rPr>
        <w:br w:type="page"/>
      </w:r>
    </w:p>
    <w:p w14:paraId="1585EB82" w14:textId="287D3F4C" w:rsidR="003671B9" w:rsidRPr="00BB171C" w:rsidRDefault="003671B9" w:rsidP="00BB171C">
      <w:pPr>
        <w:shd w:val="clear" w:color="auto" w:fill="FFFFFF"/>
        <w:spacing w:after="150" w:line="240" w:lineRule="auto"/>
        <w:jc w:val="both"/>
        <w:rPr>
          <w:rFonts w:ascii="Calibri" w:eastAsia="Times New Roman" w:hAnsi="Calibri" w:cs="Calibri"/>
          <w:b/>
          <w:bCs/>
          <w:kern w:val="0"/>
          <w:sz w:val="32"/>
          <w:szCs w:val="32"/>
          <w:lang w:eastAsia="en-GB"/>
          <w14:ligatures w14:val="none"/>
        </w:rPr>
      </w:pPr>
      <w:r w:rsidRPr="00BB171C">
        <w:rPr>
          <w:rFonts w:ascii="Calibri" w:eastAsia="Times New Roman" w:hAnsi="Calibri" w:cs="Calibri"/>
          <w:b/>
          <w:bCs/>
          <w:kern w:val="0"/>
          <w:sz w:val="32"/>
          <w:szCs w:val="32"/>
          <w:lang w:eastAsia="en-GB"/>
          <w14:ligatures w14:val="none"/>
        </w:rPr>
        <w:lastRenderedPageBreak/>
        <w:t xml:space="preserve">Non- Student Accommodation </w:t>
      </w:r>
    </w:p>
    <w:p w14:paraId="4DA8848F" w14:textId="6A4FFDFC" w:rsidR="003671B9" w:rsidRPr="00BB171C" w:rsidRDefault="003671B9" w:rsidP="00BB171C">
      <w:pPr>
        <w:shd w:val="clear" w:color="auto" w:fill="FFFFFF"/>
        <w:spacing w:after="0" w:line="240" w:lineRule="auto"/>
        <w:jc w:val="both"/>
        <w:rPr>
          <w:rFonts w:ascii="Calibri" w:eastAsia="Times New Roman" w:hAnsi="Calibri" w:cs="Calibri"/>
          <w:b/>
          <w:bCs/>
          <w:kern w:val="0"/>
          <w:sz w:val="24"/>
          <w:szCs w:val="24"/>
          <w:lang w:eastAsia="en-GB"/>
          <w14:ligatures w14:val="none"/>
        </w:rPr>
      </w:pPr>
      <w:r w:rsidRPr="00BB171C">
        <w:rPr>
          <w:rFonts w:ascii="Calibri" w:eastAsia="Times New Roman" w:hAnsi="Calibri" w:cs="Calibri"/>
          <w:b/>
          <w:bCs/>
          <w:color w:val="0A0A0A"/>
          <w:kern w:val="0"/>
          <w:sz w:val="24"/>
          <w:szCs w:val="24"/>
          <w:lang w:eastAsia="en-GB"/>
          <w14:ligatures w14:val="none"/>
        </w:rPr>
        <w:t xml:space="preserve">The </w:t>
      </w:r>
      <w:r w:rsidR="00387103">
        <w:rPr>
          <w:rFonts w:ascii="Calibri" w:eastAsia="Times New Roman" w:hAnsi="Calibri" w:cs="Calibri"/>
          <w:b/>
          <w:bCs/>
          <w:color w:val="0A0A0A"/>
          <w:kern w:val="0"/>
          <w:sz w:val="24"/>
          <w:szCs w:val="24"/>
          <w:lang w:eastAsia="en-GB"/>
          <w14:ligatures w14:val="none"/>
        </w:rPr>
        <w:t>U</w:t>
      </w:r>
      <w:r w:rsidRPr="00BB171C">
        <w:rPr>
          <w:rFonts w:ascii="Calibri" w:eastAsia="Times New Roman" w:hAnsi="Calibri" w:cs="Calibri"/>
          <w:b/>
          <w:bCs/>
          <w:color w:val="0A0A0A"/>
          <w:kern w:val="0"/>
          <w:sz w:val="24"/>
          <w:szCs w:val="24"/>
          <w:lang w:eastAsia="en-GB"/>
          <w14:ligatures w14:val="none"/>
        </w:rPr>
        <w:t xml:space="preserve">niversity of Suffolk does not recommend any </w:t>
      </w:r>
      <w:r w:rsidR="00FB6153" w:rsidRPr="00BB171C">
        <w:rPr>
          <w:rFonts w:ascii="Calibri" w:eastAsia="Times New Roman" w:hAnsi="Calibri" w:cs="Calibri"/>
          <w:b/>
          <w:bCs/>
          <w:color w:val="0A0A0A"/>
          <w:kern w:val="0"/>
          <w:sz w:val="24"/>
          <w:szCs w:val="24"/>
          <w:lang w:eastAsia="en-GB"/>
          <w14:ligatures w14:val="none"/>
        </w:rPr>
        <w:t>accommodation that is not in our accreditation scheme. However, if you are staying in non-student rented accommodation, the following applies</w:t>
      </w:r>
      <w:r w:rsidR="00457AAD">
        <w:rPr>
          <w:rFonts w:ascii="Calibri" w:eastAsia="Times New Roman" w:hAnsi="Calibri" w:cs="Calibri"/>
          <w:b/>
          <w:bCs/>
          <w:color w:val="0A0A0A"/>
          <w:kern w:val="0"/>
          <w:sz w:val="24"/>
          <w:szCs w:val="24"/>
          <w:lang w:eastAsia="en-GB"/>
          <w14:ligatures w14:val="none"/>
        </w:rPr>
        <w:t>:</w:t>
      </w:r>
      <w:r w:rsidR="00FB6153" w:rsidRPr="00BB171C">
        <w:rPr>
          <w:rFonts w:ascii="Calibri" w:eastAsia="Times New Roman" w:hAnsi="Calibri" w:cs="Calibri"/>
          <w:b/>
          <w:bCs/>
          <w:color w:val="0A0A0A"/>
          <w:kern w:val="0"/>
          <w:sz w:val="24"/>
          <w:szCs w:val="24"/>
          <w:lang w:eastAsia="en-GB"/>
          <w14:ligatures w14:val="none"/>
        </w:rPr>
        <w:t xml:space="preserve"> </w:t>
      </w:r>
    </w:p>
    <w:p w14:paraId="7A93DECC" w14:textId="77777777" w:rsidR="00BE6EB0" w:rsidRPr="00BB171C" w:rsidRDefault="00BE6EB0" w:rsidP="00BB171C">
      <w:pPr>
        <w:jc w:val="both"/>
        <w:rPr>
          <w:rFonts w:ascii="Calibri" w:hAnsi="Calibri" w:cs="Calibri"/>
          <w:sz w:val="24"/>
          <w:szCs w:val="24"/>
        </w:rPr>
      </w:pPr>
    </w:p>
    <w:p w14:paraId="141B4ED8" w14:textId="13B9BB60" w:rsidR="00BE6EB0" w:rsidRPr="00BB171C" w:rsidRDefault="00BE6EB0" w:rsidP="00BB171C">
      <w:pPr>
        <w:shd w:val="clear" w:color="auto" w:fill="FFFFFF"/>
        <w:spacing w:after="150" w:line="240" w:lineRule="auto"/>
        <w:jc w:val="both"/>
        <w:rPr>
          <w:rFonts w:ascii="Calibri" w:eastAsia="Times New Roman" w:hAnsi="Calibri" w:cs="Calibri"/>
          <w:kern w:val="0"/>
          <w:sz w:val="24"/>
          <w:szCs w:val="24"/>
          <w:lang w:eastAsia="en-GB"/>
          <w14:ligatures w14:val="none"/>
        </w:rPr>
      </w:pPr>
      <w:r w:rsidRPr="00696374">
        <w:rPr>
          <w:rFonts w:ascii="Calibri" w:eastAsia="Times New Roman" w:hAnsi="Calibri" w:cs="Calibri"/>
          <w:b/>
          <w:bCs/>
          <w:kern w:val="0"/>
          <w:sz w:val="24"/>
          <w:szCs w:val="24"/>
          <w:lang w:eastAsia="en-GB"/>
          <w14:ligatures w14:val="none"/>
        </w:rPr>
        <w:t>1. Fixed-term tenancies</w:t>
      </w:r>
      <w:r w:rsidRPr="00BB171C">
        <w:rPr>
          <w:rFonts w:ascii="Calibri" w:eastAsia="Times New Roman" w:hAnsi="Calibri" w:cs="Calibri"/>
          <w:kern w:val="0"/>
          <w:sz w:val="24"/>
          <w:szCs w:val="24"/>
          <w:lang w:eastAsia="en-GB"/>
          <w14:ligatures w14:val="none"/>
        </w:rPr>
        <w:t xml:space="preserve"> </w:t>
      </w:r>
      <w:r w:rsidRPr="00696374">
        <w:rPr>
          <w:rFonts w:ascii="Calibri" w:eastAsia="Times New Roman" w:hAnsi="Calibri" w:cs="Calibri"/>
          <w:b/>
          <w:bCs/>
          <w:kern w:val="0"/>
          <w:sz w:val="24"/>
          <w:szCs w:val="24"/>
          <w:lang w:eastAsia="en-GB"/>
          <w14:ligatures w14:val="none"/>
        </w:rPr>
        <w:t xml:space="preserve">will be replaced with rolling </w:t>
      </w:r>
      <w:r w:rsidR="00FB6153" w:rsidRPr="00696374">
        <w:rPr>
          <w:rFonts w:ascii="Calibri" w:eastAsia="Times New Roman" w:hAnsi="Calibri" w:cs="Calibri"/>
          <w:b/>
          <w:bCs/>
          <w:kern w:val="0"/>
          <w:sz w:val="24"/>
          <w:szCs w:val="24"/>
          <w:lang w:eastAsia="en-GB"/>
          <w14:ligatures w14:val="none"/>
        </w:rPr>
        <w:t xml:space="preserve">APT </w:t>
      </w:r>
      <w:r w:rsidRPr="00696374">
        <w:rPr>
          <w:rFonts w:ascii="Calibri" w:eastAsia="Times New Roman" w:hAnsi="Calibri" w:cs="Calibri"/>
          <w:b/>
          <w:bCs/>
          <w:kern w:val="0"/>
          <w:sz w:val="24"/>
          <w:szCs w:val="24"/>
          <w:lang w:eastAsia="en-GB"/>
          <w14:ligatures w14:val="none"/>
        </w:rPr>
        <w:t>contracts</w:t>
      </w:r>
      <w:r w:rsidR="00FB6153" w:rsidRPr="00696374">
        <w:rPr>
          <w:rFonts w:ascii="Calibri" w:eastAsia="Times New Roman" w:hAnsi="Calibri" w:cs="Calibri"/>
          <w:b/>
          <w:bCs/>
          <w:kern w:val="0"/>
          <w:sz w:val="24"/>
          <w:szCs w:val="24"/>
          <w:lang w:eastAsia="en-GB"/>
          <w14:ligatures w14:val="none"/>
        </w:rPr>
        <w:t>.</w:t>
      </w:r>
      <w:r w:rsidR="00FB6153" w:rsidRPr="00BB171C">
        <w:rPr>
          <w:rFonts w:ascii="Calibri" w:eastAsia="Times New Roman" w:hAnsi="Calibri" w:cs="Calibri"/>
          <w:kern w:val="0"/>
          <w:sz w:val="24"/>
          <w:szCs w:val="24"/>
          <w:lang w:eastAsia="en-GB"/>
          <w14:ligatures w14:val="none"/>
        </w:rPr>
        <w:t xml:space="preserve"> As explained above.</w:t>
      </w:r>
    </w:p>
    <w:p w14:paraId="76AC628C" w14:textId="2621DDF9" w:rsidR="00BE6EB0" w:rsidRPr="00BB171C" w:rsidRDefault="00BE6EB0" w:rsidP="00BB171C">
      <w:pPr>
        <w:shd w:val="clear" w:color="auto" w:fill="FFFFFF"/>
        <w:spacing w:after="150" w:line="240" w:lineRule="auto"/>
        <w:jc w:val="both"/>
        <w:rPr>
          <w:rFonts w:ascii="Calibri" w:eastAsia="Times New Roman" w:hAnsi="Calibri" w:cs="Calibri"/>
          <w:kern w:val="0"/>
          <w:sz w:val="24"/>
          <w:szCs w:val="24"/>
          <w:lang w:eastAsia="en-GB"/>
          <w14:ligatures w14:val="none"/>
        </w:rPr>
      </w:pPr>
      <w:r w:rsidRPr="00BB171C">
        <w:rPr>
          <w:rFonts w:ascii="Calibri" w:eastAsia="Times New Roman" w:hAnsi="Calibri" w:cs="Calibri"/>
          <w:kern w:val="0"/>
          <w:sz w:val="24"/>
          <w:szCs w:val="24"/>
          <w:lang w:eastAsia="en-GB"/>
          <w14:ligatures w14:val="none"/>
        </w:rPr>
        <w:t xml:space="preserve">Currently, many students sign fixed-term tenancy agreements that usually last for </w:t>
      </w:r>
      <w:r w:rsidR="00FB6153" w:rsidRPr="00BB171C">
        <w:rPr>
          <w:rFonts w:ascii="Calibri" w:eastAsia="Times New Roman" w:hAnsi="Calibri" w:cs="Calibri"/>
          <w:kern w:val="0"/>
          <w:sz w:val="24"/>
          <w:szCs w:val="24"/>
          <w:lang w:eastAsia="en-GB"/>
          <w14:ligatures w14:val="none"/>
        </w:rPr>
        <w:t>six months or a year.</w:t>
      </w:r>
    </w:p>
    <w:p w14:paraId="4E4D89E6" w14:textId="77777777" w:rsidR="00BE6EB0" w:rsidRPr="00BB171C" w:rsidRDefault="00BE6EB0" w:rsidP="00BB171C">
      <w:pPr>
        <w:shd w:val="clear" w:color="auto" w:fill="FFFFFF"/>
        <w:spacing w:after="150" w:line="240" w:lineRule="auto"/>
        <w:jc w:val="both"/>
        <w:rPr>
          <w:rFonts w:ascii="Calibri" w:eastAsia="Times New Roman" w:hAnsi="Calibri" w:cs="Calibri"/>
          <w:kern w:val="0"/>
          <w:sz w:val="24"/>
          <w:szCs w:val="24"/>
          <w:lang w:eastAsia="en-GB"/>
          <w14:ligatures w14:val="none"/>
        </w:rPr>
      </w:pPr>
      <w:r w:rsidRPr="00BB171C">
        <w:rPr>
          <w:rFonts w:ascii="Calibri" w:eastAsia="Times New Roman" w:hAnsi="Calibri" w:cs="Calibri"/>
          <w:kern w:val="0"/>
          <w:sz w:val="24"/>
          <w:szCs w:val="24"/>
          <w:lang w:eastAsia="en-GB"/>
          <w14:ligatures w14:val="none"/>
        </w:rPr>
        <w:t>From May 2026, these will be replaced by periodic (rolling) tenancies. This means: </w:t>
      </w:r>
    </w:p>
    <w:p w14:paraId="0FB00BE8" w14:textId="77777777" w:rsidR="00BE6EB0" w:rsidRPr="00BB171C" w:rsidRDefault="00BE6EB0" w:rsidP="00BB171C">
      <w:pPr>
        <w:numPr>
          <w:ilvl w:val="0"/>
          <w:numId w:val="1"/>
        </w:numPr>
        <w:shd w:val="clear" w:color="auto" w:fill="FFFFFF"/>
        <w:spacing w:after="150" w:line="240" w:lineRule="auto"/>
        <w:jc w:val="both"/>
        <w:rPr>
          <w:rFonts w:ascii="Calibri" w:eastAsia="Times New Roman" w:hAnsi="Calibri" w:cs="Calibri"/>
          <w:kern w:val="0"/>
          <w:sz w:val="24"/>
          <w:szCs w:val="24"/>
          <w:lang w:eastAsia="en-GB"/>
          <w14:ligatures w14:val="none"/>
        </w:rPr>
      </w:pPr>
      <w:r w:rsidRPr="00BB171C">
        <w:rPr>
          <w:rFonts w:ascii="Calibri" w:eastAsia="Times New Roman" w:hAnsi="Calibri" w:cs="Calibri"/>
          <w:kern w:val="0"/>
          <w:sz w:val="24"/>
          <w:szCs w:val="24"/>
          <w:lang w:eastAsia="en-GB"/>
          <w14:ligatures w14:val="none"/>
        </w:rPr>
        <w:t>Tenancies will automatically continue each month unless ended. </w:t>
      </w:r>
    </w:p>
    <w:p w14:paraId="6FC58477" w14:textId="77777777" w:rsidR="00BE6EB0" w:rsidRPr="00BB171C" w:rsidRDefault="00BE6EB0" w:rsidP="00BB171C">
      <w:pPr>
        <w:numPr>
          <w:ilvl w:val="0"/>
          <w:numId w:val="2"/>
        </w:numPr>
        <w:shd w:val="clear" w:color="auto" w:fill="FFFFFF"/>
        <w:spacing w:after="150" w:line="240" w:lineRule="auto"/>
        <w:jc w:val="both"/>
        <w:rPr>
          <w:rFonts w:ascii="Calibri" w:eastAsia="Times New Roman" w:hAnsi="Calibri" w:cs="Calibri"/>
          <w:kern w:val="0"/>
          <w:sz w:val="24"/>
          <w:szCs w:val="24"/>
          <w:lang w:eastAsia="en-GB"/>
          <w14:ligatures w14:val="none"/>
        </w:rPr>
      </w:pPr>
      <w:r w:rsidRPr="00BB171C">
        <w:rPr>
          <w:rFonts w:ascii="Calibri" w:eastAsia="Times New Roman" w:hAnsi="Calibri" w:cs="Calibri"/>
          <w:kern w:val="0"/>
          <w:sz w:val="24"/>
          <w:szCs w:val="24"/>
          <w:lang w:eastAsia="en-GB"/>
          <w14:ligatures w14:val="none"/>
        </w:rPr>
        <w:t>Students will usually need to give at least two months’ notice if they want to move out. </w:t>
      </w:r>
    </w:p>
    <w:p w14:paraId="1F46525E" w14:textId="4CAB489C" w:rsidR="00BE6EB0" w:rsidRPr="00BB171C" w:rsidRDefault="00BE6EB0" w:rsidP="00BB171C">
      <w:pPr>
        <w:numPr>
          <w:ilvl w:val="0"/>
          <w:numId w:val="3"/>
        </w:numPr>
        <w:shd w:val="clear" w:color="auto" w:fill="FFFFFF"/>
        <w:spacing w:after="150" w:line="240" w:lineRule="auto"/>
        <w:jc w:val="both"/>
        <w:rPr>
          <w:rFonts w:ascii="Calibri" w:eastAsia="Times New Roman" w:hAnsi="Calibri" w:cs="Calibri"/>
          <w:kern w:val="0"/>
          <w:sz w:val="24"/>
          <w:szCs w:val="24"/>
          <w:lang w:eastAsia="en-GB"/>
          <w14:ligatures w14:val="none"/>
        </w:rPr>
      </w:pPr>
      <w:r w:rsidRPr="00BB171C">
        <w:rPr>
          <w:rFonts w:ascii="Calibri" w:eastAsia="Times New Roman" w:hAnsi="Calibri" w:cs="Calibri"/>
          <w:kern w:val="0"/>
          <w:sz w:val="24"/>
          <w:szCs w:val="24"/>
          <w:lang w:eastAsia="en-GB"/>
          <w14:ligatures w14:val="none"/>
        </w:rPr>
        <w:t>If notice isn’t given in time, tenants may still be responsible for rent during the notice period.  </w:t>
      </w:r>
    </w:p>
    <w:p w14:paraId="36133291" w14:textId="77777777" w:rsidR="00FB6153" w:rsidRPr="00696374" w:rsidRDefault="00FB6153" w:rsidP="00BB171C">
      <w:pPr>
        <w:shd w:val="clear" w:color="auto" w:fill="FFFFFF"/>
        <w:spacing w:after="150" w:line="240" w:lineRule="auto"/>
        <w:ind w:left="720"/>
        <w:jc w:val="both"/>
        <w:rPr>
          <w:rFonts w:ascii="Calibri" w:eastAsia="Times New Roman" w:hAnsi="Calibri" w:cs="Calibri"/>
          <w:b/>
          <w:bCs/>
          <w:kern w:val="0"/>
          <w:sz w:val="24"/>
          <w:szCs w:val="24"/>
          <w:lang w:eastAsia="en-GB"/>
          <w14:ligatures w14:val="none"/>
        </w:rPr>
      </w:pPr>
    </w:p>
    <w:p w14:paraId="67D2AF7F" w14:textId="77777777" w:rsidR="00BE6EB0" w:rsidRPr="00696374" w:rsidRDefault="00BE6EB0" w:rsidP="00BB171C">
      <w:pPr>
        <w:shd w:val="clear" w:color="auto" w:fill="FFFFFF"/>
        <w:spacing w:after="150" w:line="240" w:lineRule="auto"/>
        <w:jc w:val="both"/>
        <w:rPr>
          <w:rFonts w:ascii="Calibri" w:eastAsia="Times New Roman" w:hAnsi="Calibri" w:cs="Calibri"/>
          <w:b/>
          <w:bCs/>
          <w:kern w:val="0"/>
          <w:sz w:val="24"/>
          <w:szCs w:val="24"/>
          <w:lang w:eastAsia="en-GB"/>
          <w14:ligatures w14:val="none"/>
        </w:rPr>
      </w:pPr>
      <w:r w:rsidRPr="00696374">
        <w:rPr>
          <w:rFonts w:ascii="Calibri" w:eastAsia="Times New Roman" w:hAnsi="Calibri" w:cs="Calibri"/>
          <w:b/>
          <w:bCs/>
          <w:kern w:val="0"/>
          <w:sz w:val="24"/>
          <w:szCs w:val="24"/>
          <w:lang w:eastAsia="en-GB"/>
          <w14:ligatures w14:val="none"/>
        </w:rPr>
        <w:t>2. “No-fault” evictions (Section 21) will be abolished </w:t>
      </w:r>
    </w:p>
    <w:p w14:paraId="18A382B1" w14:textId="77777777" w:rsidR="00BE6EB0" w:rsidRPr="00BB171C" w:rsidRDefault="00BE6EB0" w:rsidP="00BB171C">
      <w:pPr>
        <w:shd w:val="clear" w:color="auto" w:fill="FFFFFF"/>
        <w:spacing w:after="150" w:line="240" w:lineRule="auto"/>
        <w:jc w:val="both"/>
        <w:rPr>
          <w:rFonts w:ascii="Calibri" w:eastAsia="Times New Roman" w:hAnsi="Calibri" w:cs="Calibri"/>
          <w:kern w:val="0"/>
          <w:sz w:val="24"/>
          <w:szCs w:val="24"/>
          <w:lang w:eastAsia="en-GB"/>
          <w14:ligatures w14:val="none"/>
        </w:rPr>
      </w:pPr>
      <w:r w:rsidRPr="00BB171C">
        <w:rPr>
          <w:rFonts w:ascii="Calibri" w:eastAsia="Times New Roman" w:hAnsi="Calibri" w:cs="Calibri"/>
          <w:kern w:val="0"/>
          <w:sz w:val="24"/>
          <w:szCs w:val="24"/>
          <w:lang w:eastAsia="en-GB"/>
          <w14:ligatures w14:val="none"/>
        </w:rPr>
        <w:t>Under the current system, landlords can use Section 21 notices to evict tenants without giving a reason. </w:t>
      </w:r>
    </w:p>
    <w:p w14:paraId="53D974D3" w14:textId="77777777" w:rsidR="00BE6EB0" w:rsidRPr="00BB171C" w:rsidRDefault="00BE6EB0" w:rsidP="00BB171C">
      <w:pPr>
        <w:shd w:val="clear" w:color="auto" w:fill="FFFFFF"/>
        <w:spacing w:after="150" w:line="240" w:lineRule="auto"/>
        <w:jc w:val="both"/>
        <w:rPr>
          <w:rFonts w:ascii="Calibri" w:eastAsia="Times New Roman" w:hAnsi="Calibri" w:cs="Calibri"/>
          <w:kern w:val="0"/>
          <w:sz w:val="24"/>
          <w:szCs w:val="24"/>
          <w:lang w:eastAsia="en-GB"/>
          <w14:ligatures w14:val="none"/>
        </w:rPr>
      </w:pPr>
      <w:r w:rsidRPr="00BB171C">
        <w:rPr>
          <w:rFonts w:ascii="Calibri" w:eastAsia="Times New Roman" w:hAnsi="Calibri" w:cs="Calibri"/>
          <w:kern w:val="0"/>
          <w:sz w:val="24"/>
          <w:szCs w:val="24"/>
          <w:lang w:eastAsia="en-GB"/>
          <w14:ligatures w14:val="none"/>
        </w:rPr>
        <w:t>From May 2026, this will no longer be allowed. Instead, landlords must use specific legal grounds to regain possession of a property.  </w:t>
      </w:r>
    </w:p>
    <w:p w14:paraId="5863A927" w14:textId="77777777" w:rsidR="00BE6EB0" w:rsidRPr="00BB171C" w:rsidRDefault="00BE6EB0" w:rsidP="00BB171C">
      <w:pPr>
        <w:shd w:val="clear" w:color="auto" w:fill="FFFFFF"/>
        <w:spacing w:after="150" w:line="240" w:lineRule="auto"/>
        <w:jc w:val="both"/>
        <w:rPr>
          <w:rFonts w:ascii="Calibri" w:eastAsia="Times New Roman" w:hAnsi="Calibri" w:cs="Calibri"/>
          <w:kern w:val="0"/>
          <w:sz w:val="24"/>
          <w:szCs w:val="24"/>
          <w:lang w:eastAsia="en-GB"/>
          <w14:ligatures w14:val="none"/>
        </w:rPr>
      </w:pPr>
      <w:r w:rsidRPr="00BB171C">
        <w:rPr>
          <w:rFonts w:ascii="Calibri" w:eastAsia="Times New Roman" w:hAnsi="Calibri" w:cs="Calibri"/>
          <w:kern w:val="0"/>
          <w:sz w:val="24"/>
          <w:szCs w:val="24"/>
          <w:lang w:eastAsia="en-GB"/>
          <w14:ligatures w14:val="none"/>
        </w:rPr>
        <w:t>This reform is intended to give renters greater security and reduce the risk of unexpected evictions. </w:t>
      </w:r>
    </w:p>
    <w:p w14:paraId="025D2998" w14:textId="77777777" w:rsidR="00BE6EB0" w:rsidRPr="00BB171C" w:rsidRDefault="00BE6EB0" w:rsidP="00BB171C">
      <w:pPr>
        <w:shd w:val="clear" w:color="auto" w:fill="FFFFFF"/>
        <w:spacing w:after="150" w:line="240" w:lineRule="auto"/>
        <w:jc w:val="both"/>
        <w:rPr>
          <w:rFonts w:ascii="Calibri" w:eastAsia="Times New Roman" w:hAnsi="Calibri" w:cs="Calibri"/>
          <w:kern w:val="0"/>
          <w:sz w:val="24"/>
          <w:szCs w:val="24"/>
          <w:lang w:eastAsia="en-GB"/>
          <w14:ligatures w14:val="none"/>
        </w:rPr>
      </w:pPr>
      <w:r w:rsidRPr="00BB171C">
        <w:rPr>
          <w:rFonts w:ascii="Calibri" w:eastAsia="Times New Roman" w:hAnsi="Calibri" w:cs="Calibri"/>
          <w:kern w:val="0"/>
          <w:sz w:val="24"/>
          <w:szCs w:val="24"/>
          <w:lang w:eastAsia="en-GB"/>
          <w14:ligatures w14:val="none"/>
        </w:rPr>
        <w:t> </w:t>
      </w:r>
    </w:p>
    <w:p w14:paraId="4B115953" w14:textId="77777777" w:rsidR="00BE6EB0" w:rsidRPr="00387103" w:rsidRDefault="00BE6EB0" w:rsidP="00BB171C">
      <w:pPr>
        <w:shd w:val="clear" w:color="auto" w:fill="FFFFFF"/>
        <w:spacing w:after="150" w:line="240" w:lineRule="auto"/>
        <w:jc w:val="both"/>
        <w:rPr>
          <w:rFonts w:ascii="Calibri" w:eastAsia="Times New Roman" w:hAnsi="Calibri" w:cs="Calibri"/>
          <w:b/>
          <w:bCs/>
          <w:kern w:val="0"/>
          <w:sz w:val="24"/>
          <w:szCs w:val="24"/>
          <w:lang w:eastAsia="en-GB"/>
          <w14:ligatures w14:val="none"/>
        </w:rPr>
      </w:pPr>
      <w:r w:rsidRPr="00387103">
        <w:rPr>
          <w:rFonts w:ascii="Calibri" w:eastAsia="Times New Roman" w:hAnsi="Calibri" w:cs="Calibri"/>
          <w:b/>
          <w:bCs/>
          <w:kern w:val="0"/>
          <w:sz w:val="24"/>
          <w:szCs w:val="24"/>
          <w:lang w:eastAsia="en-GB"/>
          <w14:ligatures w14:val="none"/>
        </w:rPr>
        <w:t>3. Limits on rent in advance </w:t>
      </w:r>
    </w:p>
    <w:p w14:paraId="739CAC54" w14:textId="77777777" w:rsidR="00BE6EB0" w:rsidRPr="00BB171C" w:rsidRDefault="00BE6EB0" w:rsidP="00BB171C">
      <w:pPr>
        <w:shd w:val="clear" w:color="auto" w:fill="FFFFFF"/>
        <w:spacing w:after="150" w:line="240" w:lineRule="auto"/>
        <w:jc w:val="both"/>
        <w:rPr>
          <w:rFonts w:ascii="Calibri" w:eastAsia="Times New Roman" w:hAnsi="Calibri" w:cs="Calibri"/>
          <w:kern w:val="0"/>
          <w:sz w:val="24"/>
          <w:szCs w:val="24"/>
          <w:lang w:eastAsia="en-GB"/>
          <w14:ligatures w14:val="none"/>
        </w:rPr>
      </w:pPr>
      <w:r w:rsidRPr="00BB171C">
        <w:rPr>
          <w:rFonts w:ascii="Calibri" w:eastAsia="Times New Roman" w:hAnsi="Calibri" w:cs="Calibri"/>
          <w:kern w:val="0"/>
          <w:sz w:val="24"/>
          <w:szCs w:val="24"/>
          <w:lang w:eastAsia="en-GB"/>
          <w14:ligatures w14:val="none"/>
        </w:rPr>
        <w:t>Another important change is a ban on requiring large amounts of rent upfront. </w:t>
      </w:r>
    </w:p>
    <w:p w14:paraId="5C8C07ED" w14:textId="77777777" w:rsidR="00BE6EB0" w:rsidRPr="00BB171C" w:rsidRDefault="00BE6EB0" w:rsidP="00BB171C">
      <w:pPr>
        <w:shd w:val="clear" w:color="auto" w:fill="FFFFFF"/>
        <w:spacing w:after="150" w:line="240" w:lineRule="auto"/>
        <w:jc w:val="both"/>
        <w:rPr>
          <w:rFonts w:ascii="Calibri" w:eastAsia="Times New Roman" w:hAnsi="Calibri" w:cs="Calibri"/>
          <w:kern w:val="0"/>
          <w:sz w:val="24"/>
          <w:szCs w:val="24"/>
          <w:lang w:eastAsia="en-GB"/>
          <w14:ligatures w14:val="none"/>
        </w:rPr>
      </w:pPr>
      <w:r w:rsidRPr="00BB171C">
        <w:rPr>
          <w:rFonts w:ascii="Calibri" w:eastAsia="Times New Roman" w:hAnsi="Calibri" w:cs="Calibri"/>
          <w:kern w:val="0"/>
          <w:sz w:val="24"/>
          <w:szCs w:val="24"/>
          <w:lang w:eastAsia="en-GB"/>
          <w14:ligatures w14:val="none"/>
        </w:rPr>
        <w:t>From May 2026: </w:t>
      </w:r>
    </w:p>
    <w:p w14:paraId="03190138" w14:textId="77777777" w:rsidR="00BE6EB0" w:rsidRPr="00BB171C" w:rsidRDefault="00BE6EB0" w:rsidP="00BB171C">
      <w:pPr>
        <w:numPr>
          <w:ilvl w:val="0"/>
          <w:numId w:val="4"/>
        </w:numPr>
        <w:shd w:val="clear" w:color="auto" w:fill="FFFFFF"/>
        <w:spacing w:after="150" w:line="240" w:lineRule="auto"/>
        <w:jc w:val="both"/>
        <w:rPr>
          <w:rFonts w:ascii="Calibri" w:eastAsia="Times New Roman" w:hAnsi="Calibri" w:cs="Calibri"/>
          <w:kern w:val="0"/>
          <w:sz w:val="24"/>
          <w:szCs w:val="24"/>
          <w:lang w:eastAsia="en-GB"/>
          <w14:ligatures w14:val="none"/>
        </w:rPr>
      </w:pPr>
      <w:r w:rsidRPr="00BB171C">
        <w:rPr>
          <w:rFonts w:ascii="Calibri" w:eastAsia="Times New Roman" w:hAnsi="Calibri" w:cs="Calibri"/>
          <w:kern w:val="0"/>
          <w:sz w:val="24"/>
          <w:szCs w:val="24"/>
          <w:lang w:eastAsia="en-GB"/>
          <w14:ligatures w14:val="none"/>
        </w:rPr>
        <w:t>Landlords can only require up to one month’s rent in advance. </w:t>
      </w:r>
    </w:p>
    <w:p w14:paraId="715066F4" w14:textId="77777777" w:rsidR="00BE6EB0" w:rsidRPr="00BB171C" w:rsidRDefault="00BE6EB0" w:rsidP="00BB171C">
      <w:pPr>
        <w:numPr>
          <w:ilvl w:val="0"/>
          <w:numId w:val="5"/>
        </w:numPr>
        <w:shd w:val="clear" w:color="auto" w:fill="FFFFFF"/>
        <w:spacing w:after="150" w:line="240" w:lineRule="auto"/>
        <w:jc w:val="both"/>
        <w:rPr>
          <w:rFonts w:ascii="Calibri" w:eastAsia="Times New Roman" w:hAnsi="Calibri" w:cs="Calibri"/>
          <w:kern w:val="0"/>
          <w:sz w:val="24"/>
          <w:szCs w:val="24"/>
          <w:lang w:eastAsia="en-GB"/>
          <w14:ligatures w14:val="none"/>
        </w:rPr>
      </w:pPr>
      <w:r w:rsidRPr="00BB171C">
        <w:rPr>
          <w:rFonts w:ascii="Calibri" w:eastAsia="Times New Roman" w:hAnsi="Calibri" w:cs="Calibri"/>
          <w:kern w:val="0"/>
          <w:sz w:val="24"/>
          <w:szCs w:val="24"/>
          <w:lang w:eastAsia="en-GB"/>
          <w14:ligatures w14:val="none"/>
        </w:rPr>
        <w:t>Any contract clause requiring more than this will be invalid.  </w:t>
      </w:r>
    </w:p>
    <w:p w14:paraId="348AA5E4" w14:textId="77777777" w:rsidR="00BE6EB0" w:rsidRPr="00BB171C" w:rsidRDefault="00BE6EB0" w:rsidP="00BB171C">
      <w:pPr>
        <w:shd w:val="clear" w:color="auto" w:fill="FFFFFF"/>
        <w:spacing w:after="150" w:line="240" w:lineRule="auto"/>
        <w:jc w:val="both"/>
        <w:rPr>
          <w:rFonts w:ascii="Calibri" w:eastAsia="Times New Roman" w:hAnsi="Calibri" w:cs="Calibri"/>
          <w:kern w:val="0"/>
          <w:sz w:val="24"/>
          <w:szCs w:val="24"/>
          <w:lang w:eastAsia="en-GB"/>
          <w14:ligatures w14:val="none"/>
        </w:rPr>
      </w:pPr>
      <w:r w:rsidRPr="00BB171C">
        <w:rPr>
          <w:rFonts w:ascii="Calibri" w:eastAsia="Times New Roman" w:hAnsi="Calibri" w:cs="Calibri"/>
          <w:kern w:val="0"/>
          <w:sz w:val="24"/>
          <w:szCs w:val="24"/>
          <w:lang w:eastAsia="en-GB"/>
          <w14:ligatures w14:val="none"/>
        </w:rPr>
        <w:t>Previously, some tenants </w:t>
      </w:r>
      <w:r w:rsidRPr="00BB171C">
        <w:rPr>
          <w:rFonts w:ascii="Calibri" w:eastAsia="Times New Roman" w:hAnsi="Calibri" w:cs="Calibri"/>
          <w:b/>
          <w:bCs/>
          <w:kern w:val="0"/>
          <w:sz w:val="24"/>
          <w:szCs w:val="24"/>
          <w:lang w:eastAsia="en-GB"/>
          <w14:ligatures w14:val="none"/>
        </w:rPr>
        <w:t>(particularly international students) </w:t>
      </w:r>
      <w:r w:rsidRPr="00BB171C">
        <w:rPr>
          <w:rFonts w:ascii="Calibri" w:eastAsia="Times New Roman" w:hAnsi="Calibri" w:cs="Calibri"/>
          <w:kern w:val="0"/>
          <w:sz w:val="24"/>
          <w:szCs w:val="24"/>
          <w:lang w:eastAsia="en-GB"/>
          <w14:ligatures w14:val="none"/>
        </w:rPr>
        <w:t>were asked to pay several months or even a full year of rent upfront to secure accommodation. </w:t>
      </w:r>
    </w:p>
    <w:p w14:paraId="460AE0FD" w14:textId="77777777" w:rsidR="00BE6EB0" w:rsidRPr="00BB171C" w:rsidRDefault="00BE6EB0" w:rsidP="00BB171C">
      <w:pPr>
        <w:shd w:val="clear" w:color="auto" w:fill="FFFFFF"/>
        <w:spacing w:after="150" w:line="240" w:lineRule="auto"/>
        <w:jc w:val="both"/>
        <w:rPr>
          <w:rFonts w:ascii="Calibri" w:eastAsia="Times New Roman" w:hAnsi="Calibri" w:cs="Calibri"/>
          <w:kern w:val="0"/>
          <w:sz w:val="24"/>
          <w:szCs w:val="24"/>
          <w:lang w:eastAsia="en-GB"/>
          <w14:ligatures w14:val="none"/>
        </w:rPr>
      </w:pPr>
      <w:r w:rsidRPr="00BB171C">
        <w:rPr>
          <w:rFonts w:ascii="Calibri" w:eastAsia="Times New Roman" w:hAnsi="Calibri" w:cs="Calibri"/>
          <w:kern w:val="0"/>
          <w:sz w:val="24"/>
          <w:szCs w:val="24"/>
          <w:lang w:eastAsia="en-GB"/>
          <w14:ligatures w14:val="none"/>
        </w:rPr>
        <w:t> </w:t>
      </w:r>
    </w:p>
    <w:p w14:paraId="463FAAA8" w14:textId="6CF5854E" w:rsidR="00BE6EB0" w:rsidRPr="00BB171C" w:rsidRDefault="00E71636" w:rsidP="00BB171C">
      <w:pPr>
        <w:shd w:val="clear" w:color="auto" w:fill="FFFFFF"/>
        <w:spacing w:after="150" w:line="240" w:lineRule="auto"/>
        <w:jc w:val="both"/>
        <w:rPr>
          <w:rFonts w:ascii="Calibri" w:eastAsia="Times New Roman" w:hAnsi="Calibri" w:cs="Calibri"/>
          <w:b/>
          <w:bCs/>
          <w:kern w:val="0"/>
          <w:sz w:val="24"/>
          <w:szCs w:val="24"/>
          <w:lang w:eastAsia="en-GB"/>
          <w14:ligatures w14:val="none"/>
        </w:rPr>
      </w:pPr>
      <w:r w:rsidRPr="00BB171C">
        <w:rPr>
          <w:rFonts w:ascii="Calibri" w:eastAsia="Times New Roman" w:hAnsi="Calibri" w:cs="Calibri"/>
          <w:b/>
          <w:bCs/>
          <w:kern w:val="0"/>
          <w:sz w:val="24"/>
          <w:szCs w:val="24"/>
          <w:lang w:eastAsia="en-GB"/>
          <w14:ligatures w14:val="none"/>
        </w:rPr>
        <w:t>What this means for International Students</w:t>
      </w:r>
      <w:r w:rsidR="00BE6EB0" w:rsidRPr="00BB171C">
        <w:rPr>
          <w:rFonts w:ascii="Calibri" w:eastAsia="Times New Roman" w:hAnsi="Calibri" w:cs="Calibri"/>
          <w:b/>
          <w:bCs/>
          <w:kern w:val="0"/>
          <w:sz w:val="24"/>
          <w:szCs w:val="24"/>
          <w:lang w:eastAsia="en-GB"/>
          <w14:ligatures w14:val="none"/>
        </w:rPr>
        <w:t> </w:t>
      </w:r>
    </w:p>
    <w:p w14:paraId="1BF65DF6" w14:textId="59B4E145" w:rsidR="00BE6EB0" w:rsidRPr="00BB171C" w:rsidRDefault="00BE6EB0" w:rsidP="00BB171C">
      <w:pPr>
        <w:shd w:val="clear" w:color="auto" w:fill="FFFFFF"/>
        <w:spacing w:after="150" w:line="240" w:lineRule="auto"/>
        <w:jc w:val="both"/>
        <w:rPr>
          <w:rFonts w:ascii="Calibri" w:eastAsia="Times New Roman" w:hAnsi="Calibri" w:cs="Calibri"/>
          <w:kern w:val="0"/>
          <w:sz w:val="24"/>
          <w:szCs w:val="24"/>
          <w:lang w:eastAsia="en-GB"/>
          <w14:ligatures w14:val="none"/>
        </w:rPr>
      </w:pPr>
      <w:r w:rsidRPr="00BB171C">
        <w:rPr>
          <w:rFonts w:ascii="Calibri" w:eastAsia="Times New Roman" w:hAnsi="Calibri" w:cs="Calibri"/>
          <w:kern w:val="0"/>
          <w:sz w:val="24"/>
          <w:szCs w:val="24"/>
          <w:lang w:eastAsia="en-GB"/>
          <w14:ligatures w14:val="none"/>
        </w:rPr>
        <w:t>Some of the changes could have </w:t>
      </w:r>
      <w:r w:rsidR="00760463" w:rsidRPr="00BB171C">
        <w:rPr>
          <w:rFonts w:ascii="Calibri" w:eastAsia="Times New Roman" w:hAnsi="Calibri" w:cs="Calibri"/>
          <w:kern w:val="0"/>
          <w:sz w:val="24"/>
          <w:szCs w:val="24"/>
          <w:lang w:eastAsia="en-GB"/>
          <w14:ligatures w14:val="none"/>
        </w:rPr>
        <w:t>implications</w:t>
      </w:r>
      <w:r w:rsidRPr="00BB171C">
        <w:rPr>
          <w:rFonts w:ascii="Calibri" w:eastAsia="Times New Roman" w:hAnsi="Calibri" w:cs="Calibri"/>
          <w:kern w:val="0"/>
          <w:sz w:val="24"/>
          <w:szCs w:val="24"/>
          <w:lang w:eastAsia="en-GB"/>
          <w14:ligatures w14:val="none"/>
        </w:rPr>
        <w:t> for international students. </w:t>
      </w:r>
    </w:p>
    <w:p w14:paraId="557F6947" w14:textId="6FDDFB69" w:rsidR="00BE6EB0" w:rsidRPr="00BB171C" w:rsidRDefault="00BE6EB0" w:rsidP="00BB171C">
      <w:pPr>
        <w:shd w:val="clear" w:color="auto" w:fill="FFFFFF"/>
        <w:spacing w:after="150" w:line="240" w:lineRule="auto"/>
        <w:jc w:val="both"/>
        <w:rPr>
          <w:rFonts w:ascii="Calibri" w:eastAsia="Times New Roman" w:hAnsi="Calibri" w:cs="Calibri"/>
          <w:kern w:val="0"/>
          <w:sz w:val="24"/>
          <w:szCs w:val="24"/>
          <w:lang w:eastAsia="en-GB"/>
          <w14:ligatures w14:val="none"/>
        </w:rPr>
      </w:pPr>
      <w:r w:rsidRPr="00BB171C">
        <w:rPr>
          <w:rFonts w:ascii="Calibri" w:eastAsia="Times New Roman" w:hAnsi="Calibri" w:cs="Calibri"/>
          <w:kern w:val="0"/>
          <w:sz w:val="24"/>
          <w:szCs w:val="24"/>
          <w:lang w:eastAsia="en-GB"/>
          <w14:ligatures w14:val="none"/>
        </w:rPr>
        <w:t xml:space="preserve">In the past, </w:t>
      </w:r>
      <w:r w:rsidR="00AD6C65" w:rsidRPr="00BB171C">
        <w:rPr>
          <w:rFonts w:ascii="Calibri" w:eastAsia="Times New Roman" w:hAnsi="Calibri" w:cs="Calibri"/>
          <w:kern w:val="0"/>
          <w:sz w:val="24"/>
          <w:szCs w:val="24"/>
          <w:lang w:eastAsia="en-GB"/>
          <w14:ligatures w14:val="none"/>
        </w:rPr>
        <w:t xml:space="preserve">private </w:t>
      </w:r>
      <w:r w:rsidRPr="00BB171C">
        <w:rPr>
          <w:rFonts w:ascii="Calibri" w:eastAsia="Times New Roman" w:hAnsi="Calibri" w:cs="Calibri"/>
          <w:kern w:val="0"/>
          <w:sz w:val="24"/>
          <w:szCs w:val="24"/>
          <w:lang w:eastAsia="en-GB"/>
          <w14:ligatures w14:val="none"/>
        </w:rPr>
        <w:t>landlords sometimes accepted international students without a UK guarantor if they paid several months’ rent in advance. </w:t>
      </w:r>
    </w:p>
    <w:p w14:paraId="13F6AA81" w14:textId="77777777" w:rsidR="00BE6EB0" w:rsidRPr="00BB171C" w:rsidRDefault="00BE6EB0" w:rsidP="00BB171C">
      <w:pPr>
        <w:shd w:val="clear" w:color="auto" w:fill="FFFFFF"/>
        <w:spacing w:after="150" w:line="240" w:lineRule="auto"/>
        <w:jc w:val="both"/>
        <w:rPr>
          <w:rFonts w:ascii="Calibri" w:eastAsia="Times New Roman" w:hAnsi="Calibri" w:cs="Calibri"/>
          <w:kern w:val="0"/>
          <w:sz w:val="24"/>
          <w:szCs w:val="24"/>
          <w:lang w:eastAsia="en-GB"/>
          <w14:ligatures w14:val="none"/>
        </w:rPr>
      </w:pPr>
      <w:r w:rsidRPr="00BB171C">
        <w:rPr>
          <w:rFonts w:ascii="Calibri" w:eastAsia="Times New Roman" w:hAnsi="Calibri" w:cs="Calibri"/>
          <w:kern w:val="0"/>
          <w:sz w:val="24"/>
          <w:szCs w:val="24"/>
          <w:lang w:eastAsia="en-GB"/>
          <w14:ligatures w14:val="none"/>
        </w:rPr>
        <w:lastRenderedPageBreak/>
        <w:t>Because landlords will no longer be able to require large upfront payments, some may instead ask for: </w:t>
      </w:r>
    </w:p>
    <w:p w14:paraId="78F7C4F1" w14:textId="77777777" w:rsidR="00BE6EB0" w:rsidRPr="00BB171C" w:rsidRDefault="00BE6EB0" w:rsidP="00BB171C">
      <w:pPr>
        <w:numPr>
          <w:ilvl w:val="0"/>
          <w:numId w:val="9"/>
        </w:numPr>
        <w:shd w:val="clear" w:color="auto" w:fill="FFFFFF"/>
        <w:spacing w:after="150" w:line="240" w:lineRule="auto"/>
        <w:jc w:val="both"/>
        <w:rPr>
          <w:rFonts w:ascii="Calibri" w:eastAsia="Times New Roman" w:hAnsi="Calibri" w:cs="Calibri"/>
          <w:kern w:val="0"/>
          <w:sz w:val="24"/>
          <w:szCs w:val="24"/>
          <w:lang w:eastAsia="en-GB"/>
          <w14:ligatures w14:val="none"/>
        </w:rPr>
      </w:pPr>
      <w:r w:rsidRPr="00BB171C">
        <w:rPr>
          <w:rFonts w:ascii="Calibri" w:eastAsia="Times New Roman" w:hAnsi="Calibri" w:cs="Calibri"/>
          <w:kern w:val="0"/>
          <w:sz w:val="24"/>
          <w:szCs w:val="24"/>
          <w:lang w:eastAsia="en-GB"/>
          <w14:ligatures w14:val="none"/>
        </w:rPr>
        <w:t>A UK-based guarantor, or </w:t>
      </w:r>
    </w:p>
    <w:p w14:paraId="544B4696" w14:textId="77777777" w:rsidR="00BE6EB0" w:rsidRPr="00BB171C" w:rsidRDefault="00BE6EB0" w:rsidP="00BB171C">
      <w:pPr>
        <w:numPr>
          <w:ilvl w:val="0"/>
          <w:numId w:val="10"/>
        </w:numPr>
        <w:shd w:val="clear" w:color="auto" w:fill="FFFFFF"/>
        <w:spacing w:after="150" w:line="240" w:lineRule="auto"/>
        <w:jc w:val="both"/>
        <w:rPr>
          <w:rFonts w:ascii="Calibri" w:eastAsia="Times New Roman" w:hAnsi="Calibri" w:cs="Calibri"/>
          <w:kern w:val="0"/>
          <w:sz w:val="24"/>
          <w:szCs w:val="24"/>
          <w:lang w:eastAsia="en-GB"/>
          <w14:ligatures w14:val="none"/>
        </w:rPr>
      </w:pPr>
      <w:r w:rsidRPr="00BB171C">
        <w:rPr>
          <w:rFonts w:ascii="Calibri" w:eastAsia="Times New Roman" w:hAnsi="Calibri" w:cs="Calibri"/>
          <w:kern w:val="0"/>
          <w:sz w:val="24"/>
          <w:szCs w:val="24"/>
          <w:lang w:eastAsia="en-GB"/>
          <w14:ligatures w14:val="none"/>
        </w:rPr>
        <w:t>A paid guarantor service. </w:t>
      </w:r>
    </w:p>
    <w:p w14:paraId="09C9729C" w14:textId="08C61849" w:rsidR="00AD6C65" w:rsidRPr="00BB171C" w:rsidRDefault="00BE6EB0" w:rsidP="00BB171C">
      <w:pPr>
        <w:shd w:val="clear" w:color="auto" w:fill="FFFFFF"/>
        <w:spacing w:after="150" w:line="240" w:lineRule="auto"/>
        <w:jc w:val="both"/>
        <w:rPr>
          <w:rFonts w:ascii="Calibri" w:eastAsia="Times New Roman" w:hAnsi="Calibri" w:cs="Calibri"/>
          <w:kern w:val="0"/>
          <w:sz w:val="24"/>
          <w:szCs w:val="24"/>
          <w:lang w:eastAsia="en-GB"/>
          <w14:ligatures w14:val="none"/>
        </w:rPr>
      </w:pPr>
      <w:r w:rsidRPr="00BB171C">
        <w:rPr>
          <w:rFonts w:ascii="Calibri" w:eastAsia="Times New Roman" w:hAnsi="Calibri" w:cs="Calibri"/>
          <w:kern w:val="0"/>
          <w:sz w:val="24"/>
          <w:szCs w:val="24"/>
          <w:lang w:eastAsia="en-GB"/>
          <w14:ligatures w14:val="none"/>
        </w:rPr>
        <w:t>Students who do not have a UK guarantor may want to </w:t>
      </w:r>
      <w:r w:rsidR="00AD6C65" w:rsidRPr="00BB171C">
        <w:rPr>
          <w:rFonts w:ascii="Calibri" w:eastAsia="Times New Roman" w:hAnsi="Calibri" w:cs="Calibri"/>
          <w:kern w:val="0"/>
          <w:sz w:val="24"/>
          <w:szCs w:val="24"/>
          <w:lang w:eastAsia="en-GB"/>
          <w14:ligatures w14:val="none"/>
        </w:rPr>
        <w:t>investigate</w:t>
      </w:r>
      <w:r w:rsidRPr="00BB171C">
        <w:rPr>
          <w:rFonts w:ascii="Calibri" w:eastAsia="Times New Roman" w:hAnsi="Calibri" w:cs="Calibri"/>
          <w:kern w:val="0"/>
          <w:sz w:val="24"/>
          <w:szCs w:val="24"/>
          <w:lang w:eastAsia="en-GB"/>
          <w14:ligatures w14:val="none"/>
        </w:rPr>
        <w:t> guarantor schemes early when planning accommodation.  </w:t>
      </w:r>
      <w:r w:rsidR="00AD6C65" w:rsidRPr="00BB171C">
        <w:rPr>
          <w:rFonts w:ascii="Calibri" w:eastAsia="Times New Roman" w:hAnsi="Calibri" w:cs="Calibri"/>
          <w:kern w:val="0"/>
          <w:sz w:val="24"/>
          <w:szCs w:val="24"/>
          <w:lang w:eastAsia="en-GB"/>
          <w14:ligatures w14:val="none"/>
        </w:rPr>
        <w:t xml:space="preserve">Google </w:t>
      </w:r>
      <w:r w:rsidR="00794FED" w:rsidRPr="00BB171C">
        <w:rPr>
          <w:rFonts w:ascii="Calibri" w:eastAsia="Times New Roman" w:hAnsi="Calibri" w:cs="Calibri"/>
          <w:kern w:val="0"/>
          <w:sz w:val="24"/>
          <w:szCs w:val="24"/>
          <w:lang w:eastAsia="en-GB"/>
          <w14:ligatures w14:val="none"/>
        </w:rPr>
        <w:t>“UK Guarantor Schemes” to find schemes such as:</w:t>
      </w:r>
    </w:p>
    <w:p w14:paraId="66DFDE34" w14:textId="72071EAF" w:rsidR="00BE6EB0" w:rsidRPr="00BB171C" w:rsidRDefault="00897F25" w:rsidP="00BB171C">
      <w:pPr>
        <w:shd w:val="clear" w:color="auto" w:fill="FFFFFF"/>
        <w:spacing w:after="150" w:line="240" w:lineRule="auto"/>
        <w:jc w:val="both"/>
        <w:rPr>
          <w:rFonts w:ascii="Calibri" w:hAnsi="Calibri" w:cs="Calibri"/>
          <w:sz w:val="24"/>
          <w:szCs w:val="24"/>
        </w:rPr>
      </w:pPr>
      <w:hyperlink r:id="rId11" w:history="1">
        <w:r w:rsidRPr="00BB171C">
          <w:rPr>
            <w:rFonts w:ascii="Calibri" w:hAnsi="Calibri" w:cs="Calibri"/>
            <w:color w:val="0000FF"/>
            <w:sz w:val="24"/>
            <w:szCs w:val="24"/>
            <w:u w:val="single"/>
          </w:rPr>
          <w:t>Get a Rent Guarantor | Housing Hand</w:t>
        </w:r>
      </w:hyperlink>
    </w:p>
    <w:p w14:paraId="493AD20B" w14:textId="4342DE3C" w:rsidR="00897F25" w:rsidRPr="00BB171C" w:rsidRDefault="00DE737A" w:rsidP="00BB171C">
      <w:pPr>
        <w:shd w:val="clear" w:color="auto" w:fill="FFFFFF"/>
        <w:spacing w:after="150" w:line="240" w:lineRule="auto"/>
        <w:jc w:val="both"/>
        <w:rPr>
          <w:rFonts w:ascii="Calibri" w:hAnsi="Calibri" w:cs="Calibri"/>
          <w:sz w:val="24"/>
          <w:szCs w:val="24"/>
        </w:rPr>
      </w:pPr>
      <w:hyperlink r:id="rId12" w:history="1">
        <w:r w:rsidRPr="00BB171C">
          <w:rPr>
            <w:rFonts w:ascii="Calibri" w:hAnsi="Calibri" w:cs="Calibri"/>
            <w:color w:val="0000FF"/>
            <w:sz w:val="24"/>
            <w:szCs w:val="24"/>
            <w:u w:val="single"/>
          </w:rPr>
          <w:t>Rent Guarantor | Flats to Rent UK | UK Rent Guarantor Service</w:t>
        </w:r>
      </w:hyperlink>
    </w:p>
    <w:p w14:paraId="205FAD38" w14:textId="75D1A22C" w:rsidR="00DE737A" w:rsidRPr="00BB171C" w:rsidRDefault="00A56C6D" w:rsidP="00BB171C">
      <w:pPr>
        <w:shd w:val="clear" w:color="auto" w:fill="FFFFFF"/>
        <w:spacing w:after="150" w:line="240" w:lineRule="auto"/>
        <w:jc w:val="both"/>
        <w:rPr>
          <w:rFonts w:ascii="Calibri" w:hAnsi="Calibri" w:cs="Calibri"/>
          <w:sz w:val="24"/>
          <w:szCs w:val="24"/>
        </w:rPr>
      </w:pPr>
      <w:hyperlink r:id="rId13" w:history="1">
        <w:r w:rsidRPr="00BB171C">
          <w:rPr>
            <w:rFonts w:ascii="Calibri" w:hAnsi="Calibri" w:cs="Calibri"/>
            <w:color w:val="0000FF"/>
            <w:sz w:val="24"/>
            <w:szCs w:val="24"/>
            <w:u w:val="single"/>
          </w:rPr>
          <w:t xml:space="preserve">Guarantor for Rent in the UK | </w:t>
        </w:r>
        <w:proofErr w:type="spellStart"/>
        <w:r w:rsidRPr="00BB171C">
          <w:rPr>
            <w:rFonts w:ascii="Calibri" w:hAnsi="Calibri" w:cs="Calibri"/>
            <w:color w:val="0000FF"/>
            <w:sz w:val="24"/>
            <w:szCs w:val="24"/>
            <w:u w:val="single"/>
          </w:rPr>
          <w:t>RentGuarantor</w:t>
        </w:r>
        <w:proofErr w:type="spellEnd"/>
      </w:hyperlink>
    </w:p>
    <w:p w14:paraId="7AB0A9B2" w14:textId="77777777" w:rsidR="00A56C6D" w:rsidRDefault="00A56C6D" w:rsidP="00BE6EB0">
      <w:pPr>
        <w:shd w:val="clear" w:color="auto" w:fill="FFFFFF"/>
        <w:spacing w:after="150" w:line="240" w:lineRule="auto"/>
        <w:jc w:val="both"/>
        <w:rPr>
          <w:rFonts w:ascii="Calibri" w:eastAsia="Times New Roman" w:hAnsi="Calibri" w:cs="Calibri"/>
          <w:color w:val="2D2D2D"/>
          <w:kern w:val="0"/>
          <w:sz w:val="24"/>
          <w:szCs w:val="24"/>
          <w:lang w:eastAsia="en-GB"/>
          <w14:ligatures w14:val="none"/>
        </w:rPr>
      </w:pPr>
    </w:p>
    <w:p w14:paraId="1AE3EB79" w14:textId="77777777" w:rsidR="00696374" w:rsidRPr="00A17E65" w:rsidRDefault="00696374" w:rsidP="00BE6EB0">
      <w:pPr>
        <w:shd w:val="clear" w:color="auto" w:fill="FFFFFF"/>
        <w:spacing w:after="150" w:line="240" w:lineRule="auto"/>
        <w:jc w:val="both"/>
        <w:rPr>
          <w:rFonts w:ascii="Calibri" w:eastAsia="Times New Roman" w:hAnsi="Calibri" w:cs="Calibri"/>
          <w:color w:val="2D2D2D"/>
          <w:kern w:val="0"/>
          <w:sz w:val="24"/>
          <w:szCs w:val="24"/>
          <w:lang w:eastAsia="en-GB"/>
          <w14:ligatures w14:val="none"/>
        </w:rPr>
      </w:pPr>
    </w:p>
    <w:p w14:paraId="7992E9AB" w14:textId="77777777" w:rsidR="00BE6EB0" w:rsidRDefault="00BE6EB0">
      <w:pPr>
        <w:rPr>
          <w:rFonts w:ascii="Calibri" w:hAnsi="Calibri" w:cs="Calibri"/>
          <w:sz w:val="24"/>
          <w:szCs w:val="24"/>
        </w:rPr>
      </w:pPr>
    </w:p>
    <w:p w14:paraId="1D798EEC" w14:textId="7AAE61CB" w:rsidR="00FD0063" w:rsidRDefault="00FD0063">
      <w:pPr>
        <w:rPr>
          <w:rFonts w:ascii="Calibri" w:hAnsi="Calibri" w:cs="Calibri"/>
          <w:sz w:val="24"/>
          <w:szCs w:val="24"/>
        </w:rPr>
      </w:pPr>
      <w:r>
        <w:rPr>
          <w:rFonts w:ascii="Calibri" w:hAnsi="Calibri" w:cs="Calibri"/>
          <w:sz w:val="24"/>
          <w:szCs w:val="24"/>
        </w:rPr>
        <w:t>More information about the Renters Rights Act 2025 can be found here:</w:t>
      </w:r>
    </w:p>
    <w:p w14:paraId="3DFC7C12" w14:textId="09969A1E" w:rsidR="00FD0063" w:rsidRPr="00A17E65" w:rsidRDefault="00FD0063">
      <w:pPr>
        <w:rPr>
          <w:rFonts w:ascii="Calibri" w:hAnsi="Calibri" w:cs="Calibri"/>
          <w:sz w:val="24"/>
          <w:szCs w:val="24"/>
        </w:rPr>
      </w:pPr>
      <w:hyperlink r:id="rId14" w:history="1">
        <w:r w:rsidRPr="00FD0063">
          <w:rPr>
            <w:color w:val="0000FF"/>
            <w:u w:val="single"/>
          </w:rPr>
          <w:t>Renters’ Rights Act 2025</w:t>
        </w:r>
      </w:hyperlink>
    </w:p>
    <w:sectPr w:rsidR="00FD0063" w:rsidRPr="00A17E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771F0"/>
    <w:multiLevelType w:val="hybridMultilevel"/>
    <w:tmpl w:val="5A34DC90"/>
    <w:lvl w:ilvl="0" w:tplc="FFFFFFFF">
      <w:start w:val="1"/>
      <w:numFmt w:val="decimal"/>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8A3E02"/>
    <w:multiLevelType w:val="multilevel"/>
    <w:tmpl w:val="1284C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719AD"/>
    <w:multiLevelType w:val="multilevel"/>
    <w:tmpl w:val="6EB8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2D6AB0"/>
    <w:multiLevelType w:val="multilevel"/>
    <w:tmpl w:val="4C98E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EA686C"/>
    <w:multiLevelType w:val="multilevel"/>
    <w:tmpl w:val="63EA7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8B77F5"/>
    <w:multiLevelType w:val="multilevel"/>
    <w:tmpl w:val="68724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070285"/>
    <w:multiLevelType w:val="multilevel"/>
    <w:tmpl w:val="8DA20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CD1B3F"/>
    <w:multiLevelType w:val="multilevel"/>
    <w:tmpl w:val="D0BE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AD0F39"/>
    <w:multiLevelType w:val="multilevel"/>
    <w:tmpl w:val="5164E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654DE3"/>
    <w:multiLevelType w:val="multilevel"/>
    <w:tmpl w:val="A7002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49796A"/>
    <w:multiLevelType w:val="multilevel"/>
    <w:tmpl w:val="3760A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94163E"/>
    <w:multiLevelType w:val="multilevel"/>
    <w:tmpl w:val="2044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B11ED6"/>
    <w:multiLevelType w:val="hybridMultilevel"/>
    <w:tmpl w:val="D7767C70"/>
    <w:lvl w:ilvl="0" w:tplc="16D2E99C">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CE5985"/>
    <w:multiLevelType w:val="multilevel"/>
    <w:tmpl w:val="371ED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3B0135"/>
    <w:multiLevelType w:val="multilevel"/>
    <w:tmpl w:val="05E44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1F66BE"/>
    <w:multiLevelType w:val="hybridMultilevel"/>
    <w:tmpl w:val="27869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D24EDD"/>
    <w:multiLevelType w:val="hybridMultilevel"/>
    <w:tmpl w:val="774E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8F0149"/>
    <w:multiLevelType w:val="multilevel"/>
    <w:tmpl w:val="048EF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2650009">
    <w:abstractNumId w:val="14"/>
  </w:num>
  <w:num w:numId="2" w16cid:durableId="547767005">
    <w:abstractNumId w:val="5"/>
  </w:num>
  <w:num w:numId="3" w16cid:durableId="146748719">
    <w:abstractNumId w:val="17"/>
  </w:num>
  <w:num w:numId="4" w16cid:durableId="1853108525">
    <w:abstractNumId w:val="4"/>
  </w:num>
  <w:num w:numId="5" w16cid:durableId="1309090609">
    <w:abstractNumId w:val="13"/>
  </w:num>
  <w:num w:numId="6" w16cid:durableId="1610970042">
    <w:abstractNumId w:val="8"/>
  </w:num>
  <w:num w:numId="7" w16cid:durableId="342975338">
    <w:abstractNumId w:val="1"/>
  </w:num>
  <w:num w:numId="8" w16cid:durableId="650520022">
    <w:abstractNumId w:val="7"/>
  </w:num>
  <w:num w:numId="9" w16cid:durableId="832138245">
    <w:abstractNumId w:val="6"/>
  </w:num>
  <w:num w:numId="10" w16cid:durableId="431705774">
    <w:abstractNumId w:val="10"/>
  </w:num>
  <w:num w:numId="11" w16cid:durableId="423958292">
    <w:abstractNumId w:val="11"/>
  </w:num>
  <w:num w:numId="12" w16cid:durableId="2078357811">
    <w:abstractNumId w:val="3"/>
  </w:num>
  <w:num w:numId="13" w16cid:durableId="1358241804">
    <w:abstractNumId w:val="2"/>
  </w:num>
  <w:num w:numId="14" w16cid:durableId="570233579">
    <w:abstractNumId w:val="9"/>
  </w:num>
  <w:num w:numId="15" w16cid:durableId="463084264">
    <w:abstractNumId w:val="16"/>
  </w:num>
  <w:num w:numId="16" w16cid:durableId="548225350">
    <w:abstractNumId w:val="15"/>
  </w:num>
  <w:num w:numId="17" w16cid:durableId="1651638370">
    <w:abstractNumId w:val="12"/>
  </w:num>
  <w:num w:numId="18" w16cid:durableId="1727794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F16"/>
    <w:rsid w:val="000320D2"/>
    <w:rsid w:val="00067DC2"/>
    <w:rsid w:val="00097B3D"/>
    <w:rsid w:val="000F2F16"/>
    <w:rsid w:val="002166AC"/>
    <w:rsid w:val="00235CF3"/>
    <w:rsid w:val="002433BD"/>
    <w:rsid w:val="00284451"/>
    <w:rsid w:val="00285E53"/>
    <w:rsid w:val="00292DDF"/>
    <w:rsid w:val="002F1E18"/>
    <w:rsid w:val="002F4A52"/>
    <w:rsid w:val="00323E0F"/>
    <w:rsid w:val="003671B9"/>
    <w:rsid w:val="00376AF2"/>
    <w:rsid w:val="00387103"/>
    <w:rsid w:val="003C562D"/>
    <w:rsid w:val="003D498D"/>
    <w:rsid w:val="00410E37"/>
    <w:rsid w:val="00421B8B"/>
    <w:rsid w:val="0044242A"/>
    <w:rsid w:val="00445D57"/>
    <w:rsid w:val="00450B2F"/>
    <w:rsid w:val="00457AAD"/>
    <w:rsid w:val="0048010E"/>
    <w:rsid w:val="00502BF4"/>
    <w:rsid w:val="00514D82"/>
    <w:rsid w:val="00536F40"/>
    <w:rsid w:val="00547B94"/>
    <w:rsid w:val="00550B35"/>
    <w:rsid w:val="005864DA"/>
    <w:rsid w:val="005F2E8A"/>
    <w:rsid w:val="00600242"/>
    <w:rsid w:val="00603645"/>
    <w:rsid w:val="006216FB"/>
    <w:rsid w:val="0063494C"/>
    <w:rsid w:val="0066746D"/>
    <w:rsid w:val="00696374"/>
    <w:rsid w:val="006B524C"/>
    <w:rsid w:val="006C4C9D"/>
    <w:rsid w:val="006C7560"/>
    <w:rsid w:val="00747515"/>
    <w:rsid w:val="00754EB8"/>
    <w:rsid w:val="00755F57"/>
    <w:rsid w:val="00760463"/>
    <w:rsid w:val="007803E6"/>
    <w:rsid w:val="00794FED"/>
    <w:rsid w:val="007A14E9"/>
    <w:rsid w:val="007E1676"/>
    <w:rsid w:val="00816E0E"/>
    <w:rsid w:val="008552F2"/>
    <w:rsid w:val="00897F25"/>
    <w:rsid w:val="008F0652"/>
    <w:rsid w:val="009D4B02"/>
    <w:rsid w:val="009F0C59"/>
    <w:rsid w:val="009F48BF"/>
    <w:rsid w:val="00A17E65"/>
    <w:rsid w:val="00A46CE7"/>
    <w:rsid w:val="00A56C6D"/>
    <w:rsid w:val="00A968C9"/>
    <w:rsid w:val="00AA3C5D"/>
    <w:rsid w:val="00AD6C65"/>
    <w:rsid w:val="00B47135"/>
    <w:rsid w:val="00BB171C"/>
    <w:rsid w:val="00BD0251"/>
    <w:rsid w:val="00BE6EB0"/>
    <w:rsid w:val="00C1445F"/>
    <w:rsid w:val="00C24A87"/>
    <w:rsid w:val="00C372E9"/>
    <w:rsid w:val="00C53582"/>
    <w:rsid w:val="00C77AFF"/>
    <w:rsid w:val="00CA41E0"/>
    <w:rsid w:val="00D6086A"/>
    <w:rsid w:val="00D93F7E"/>
    <w:rsid w:val="00DE737A"/>
    <w:rsid w:val="00E032C4"/>
    <w:rsid w:val="00E3529D"/>
    <w:rsid w:val="00E71636"/>
    <w:rsid w:val="00E870DB"/>
    <w:rsid w:val="00E97E67"/>
    <w:rsid w:val="00ED555F"/>
    <w:rsid w:val="00F51136"/>
    <w:rsid w:val="00F87393"/>
    <w:rsid w:val="00FB6153"/>
    <w:rsid w:val="00FD0063"/>
    <w:rsid w:val="00FD5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D587F"/>
  <w15:chartTrackingRefBased/>
  <w15:docId w15:val="{C41C8DCA-EF8D-4725-B19C-CBF5A3BB3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2F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2F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2F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2F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2F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2F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F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F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F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F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2F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2F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F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F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F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F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F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F16"/>
    <w:rPr>
      <w:rFonts w:eastAsiaTheme="majorEastAsia" w:cstheme="majorBidi"/>
      <w:color w:val="272727" w:themeColor="text1" w:themeTint="D8"/>
    </w:rPr>
  </w:style>
  <w:style w:type="paragraph" w:styleId="Title">
    <w:name w:val="Title"/>
    <w:basedOn w:val="Normal"/>
    <w:next w:val="Normal"/>
    <w:link w:val="TitleChar"/>
    <w:uiPriority w:val="10"/>
    <w:qFormat/>
    <w:rsid w:val="000F2F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F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F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F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F16"/>
    <w:pPr>
      <w:spacing w:before="160"/>
      <w:jc w:val="center"/>
    </w:pPr>
    <w:rPr>
      <w:i/>
      <w:iCs/>
      <w:color w:val="404040" w:themeColor="text1" w:themeTint="BF"/>
    </w:rPr>
  </w:style>
  <w:style w:type="character" w:customStyle="1" w:styleId="QuoteChar">
    <w:name w:val="Quote Char"/>
    <w:basedOn w:val="DefaultParagraphFont"/>
    <w:link w:val="Quote"/>
    <w:uiPriority w:val="29"/>
    <w:rsid w:val="000F2F16"/>
    <w:rPr>
      <w:i/>
      <w:iCs/>
      <w:color w:val="404040" w:themeColor="text1" w:themeTint="BF"/>
    </w:rPr>
  </w:style>
  <w:style w:type="paragraph" w:styleId="ListParagraph">
    <w:name w:val="List Paragraph"/>
    <w:basedOn w:val="Normal"/>
    <w:uiPriority w:val="34"/>
    <w:qFormat/>
    <w:rsid w:val="000F2F16"/>
    <w:pPr>
      <w:ind w:left="720"/>
      <w:contextualSpacing/>
    </w:pPr>
  </w:style>
  <w:style w:type="character" w:styleId="IntenseEmphasis">
    <w:name w:val="Intense Emphasis"/>
    <w:basedOn w:val="DefaultParagraphFont"/>
    <w:uiPriority w:val="21"/>
    <w:qFormat/>
    <w:rsid w:val="000F2F16"/>
    <w:rPr>
      <w:i/>
      <w:iCs/>
      <w:color w:val="0F4761" w:themeColor="accent1" w:themeShade="BF"/>
    </w:rPr>
  </w:style>
  <w:style w:type="paragraph" w:styleId="IntenseQuote">
    <w:name w:val="Intense Quote"/>
    <w:basedOn w:val="Normal"/>
    <w:next w:val="Normal"/>
    <w:link w:val="IntenseQuoteChar"/>
    <w:uiPriority w:val="30"/>
    <w:qFormat/>
    <w:rsid w:val="000F2F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F16"/>
    <w:rPr>
      <w:i/>
      <w:iCs/>
      <w:color w:val="0F4761" w:themeColor="accent1" w:themeShade="BF"/>
    </w:rPr>
  </w:style>
  <w:style w:type="character" w:styleId="IntenseReference">
    <w:name w:val="Intense Reference"/>
    <w:basedOn w:val="DefaultParagraphFont"/>
    <w:uiPriority w:val="32"/>
    <w:qFormat/>
    <w:rsid w:val="000F2F16"/>
    <w:rPr>
      <w:b/>
      <w:bCs/>
      <w:smallCaps/>
      <w:color w:val="0F4761" w:themeColor="accent1" w:themeShade="BF"/>
      <w:spacing w:val="5"/>
    </w:rPr>
  </w:style>
  <w:style w:type="character" w:styleId="Strong">
    <w:name w:val="Strong"/>
    <w:basedOn w:val="DefaultParagraphFont"/>
    <w:uiPriority w:val="22"/>
    <w:qFormat/>
    <w:rsid w:val="000F2F16"/>
    <w:rPr>
      <w:b/>
      <w:bCs/>
    </w:rPr>
  </w:style>
  <w:style w:type="character" w:styleId="Hyperlink">
    <w:name w:val="Hyperlink"/>
    <w:basedOn w:val="DefaultParagraphFont"/>
    <w:uiPriority w:val="99"/>
    <w:unhideWhenUsed/>
    <w:rsid w:val="000F2F16"/>
    <w:rPr>
      <w:color w:val="0000FF"/>
      <w:u w:val="single"/>
    </w:rPr>
  </w:style>
  <w:style w:type="character" w:customStyle="1" w:styleId="t286pc">
    <w:name w:val="t286pc"/>
    <w:basedOn w:val="DefaultParagraphFont"/>
    <w:rsid w:val="000F2F16"/>
  </w:style>
  <w:style w:type="character" w:styleId="FollowedHyperlink">
    <w:name w:val="FollowedHyperlink"/>
    <w:basedOn w:val="DefaultParagraphFont"/>
    <w:uiPriority w:val="99"/>
    <w:semiHidden/>
    <w:unhideWhenUsed/>
    <w:rsid w:val="000F2F16"/>
    <w:rPr>
      <w:color w:val="96607D" w:themeColor="followedHyperlink"/>
      <w:u w:val="single"/>
    </w:rPr>
  </w:style>
  <w:style w:type="character" w:styleId="UnresolvedMention">
    <w:name w:val="Unresolved Mention"/>
    <w:basedOn w:val="DefaultParagraphFont"/>
    <w:uiPriority w:val="99"/>
    <w:semiHidden/>
    <w:unhideWhenUsed/>
    <w:rsid w:val="00E87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os.ac.uk/accommodation/ormonde-house/" TargetMode="External"/><Relationship Id="rId13" Type="http://schemas.openxmlformats.org/officeDocument/2006/relationships/hyperlink" Target="https://www.rentguarantor.com/" TargetMode="External"/><Relationship Id="rId3" Type="http://schemas.openxmlformats.org/officeDocument/2006/relationships/styles" Target="styles.xml"/><Relationship Id="rId7" Type="http://schemas.openxmlformats.org/officeDocument/2006/relationships/hyperlink" Target="https://www.collegiate-ac.com/" TargetMode="External"/><Relationship Id="rId12" Type="http://schemas.openxmlformats.org/officeDocument/2006/relationships/hyperlink" Target="https://ukguarantor.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uos.ac.uk/accommodation/athena-hall/" TargetMode="External"/><Relationship Id="rId11" Type="http://schemas.openxmlformats.org/officeDocument/2006/relationships/hyperlink" Target="https://housinghand.com/guarantor-servic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os.ac.uk/accommodation/shared-houses/" TargetMode="External"/><Relationship Id="rId4" Type="http://schemas.openxmlformats.org/officeDocument/2006/relationships/settings" Target="settings.xml"/><Relationship Id="rId9" Type="http://schemas.openxmlformats.org/officeDocument/2006/relationships/hyperlink" Target="https://www.uos.ac.uk/accommodation/75-grimwade-street/" TargetMode="External"/><Relationship Id="rId14" Type="http://schemas.openxmlformats.org/officeDocument/2006/relationships/hyperlink" Target="https://www.legislation.gov.uk/ukpga/2025/26/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37F20-578D-4A1C-9CAE-6809A4F0F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Pages>
  <Words>854</Words>
  <Characters>4614</Characters>
  <Application>Microsoft Office Word</Application>
  <DocSecurity>0</DocSecurity>
  <Lines>101</Lines>
  <Paragraphs>49</Paragraphs>
  <ScaleCrop>false</ScaleCrop>
  <HeadingPairs>
    <vt:vector size="2" baseType="variant">
      <vt:variant>
        <vt:lpstr>Title</vt:lpstr>
      </vt:variant>
      <vt:variant>
        <vt:i4>1</vt:i4>
      </vt:variant>
    </vt:vector>
  </HeadingPairs>
  <TitlesOfParts>
    <vt:vector size="1" baseType="lpstr">
      <vt:lpstr/>
    </vt:vector>
  </TitlesOfParts>
  <Company>University of Suffolk</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Viki Simpson</dc:creator>
  <cp:keywords/>
  <dc:description/>
  <cp:lastModifiedBy>Viki Simpson</cp:lastModifiedBy>
  <cp:revision>78</cp:revision>
  <cp:lastPrinted>2026-04-08T13:26:00Z</cp:lastPrinted>
  <dcterms:created xsi:type="dcterms:W3CDTF">2026-04-08T08:43:00Z</dcterms:created>
  <dcterms:modified xsi:type="dcterms:W3CDTF">2026-04-08T13:27:00Z</dcterms:modified>
</cp:coreProperties>
</file>